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5479" w:rsidRPr="002F363A" w:rsidRDefault="00C15479" w:rsidP="00C15479">
      <w:pPr>
        <w:pStyle w:val="Heading2"/>
      </w:pPr>
      <w:r w:rsidRPr="002F363A">
        <w:t xml:space="preserve">Samenwerkingsovereenkomst </w:t>
      </w:r>
      <w:r>
        <w:t xml:space="preserve">bij </w:t>
      </w:r>
      <w:r>
        <w:t>IBN</w:t>
      </w:r>
      <w:bookmarkStart w:id="0" w:name="_GoBack"/>
      <w:bookmarkEnd w:id="0"/>
      <w:r>
        <w:t>-projecten</w:t>
      </w:r>
    </w:p>
    <w:p w:rsidR="00C15479" w:rsidRPr="00C15479" w:rsidRDefault="00C15479" w:rsidP="00C15479">
      <w:pPr>
        <w:spacing w:after="0"/>
        <w:rPr>
          <w:i/>
        </w:rPr>
      </w:pPr>
      <w:r w:rsidRPr="00C15479">
        <w:rPr>
          <w:i/>
        </w:rPr>
        <w:t>Versie oktober 2016</w:t>
      </w:r>
    </w:p>
    <w:p w:rsidR="00C15479" w:rsidRPr="00FD3961" w:rsidRDefault="00C15479" w:rsidP="00C15479">
      <w:pPr>
        <w:spacing w:before="180"/>
      </w:pPr>
      <w:proofErr w:type="gramStart"/>
      <w:r w:rsidRPr="00FD3961">
        <w:rPr>
          <w:szCs w:val="22"/>
          <w:lang w:val="nl-NL"/>
        </w:rPr>
        <w:t xml:space="preserve">In het kader van </w:t>
      </w:r>
      <w:r>
        <w:rPr>
          <w:szCs w:val="22"/>
          <w:lang w:val="nl-NL"/>
        </w:rPr>
        <w:t>innovatieve bedrijfsnetwerken</w:t>
      </w:r>
      <w:r w:rsidRPr="00FD3961">
        <w:rPr>
          <w:szCs w:val="22"/>
          <w:lang w:val="nl-NL"/>
        </w:rPr>
        <w:t xml:space="preserve">, kan tussen verschillende </w:t>
      </w:r>
      <w:r>
        <w:rPr>
          <w:szCs w:val="22"/>
          <w:lang w:val="nl-NL"/>
        </w:rPr>
        <w:t>uitvoerders</w:t>
      </w:r>
      <w:r w:rsidRPr="00FD3961">
        <w:rPr>
          <w:szCs w:val="22"/>
          <w:lang w:val="nl-NL"/>
        </w:rPr>
        <w:t xml:space="preserve"> samengewerkt worden. </w:t>
      </w:r>
      <w:proofErr w:type="gramEnd"/>
      <w:r w:rsidRPr="00FD3961">
        <w:t xml:space="preserve">Wanneer verschillende </w:t>
      </w:r>
      <w:r>
        <w:t>partijen in het kader van een innovatief bedrijfsnetwerk</w:t>
      </w:r>
      <w:r w:rsidRPr="00FD3961">
        <w:t xml:space="preserve"> samenwerken, is het nodig om </w:t>
      </w:r>
      <w:r w:rsidRPr="00FD3961">
        <w:rPr>
          <w:szCs w:val="22"/>
          <w:lang w:val="nl-NL"/>
        </w:rPr>
        <w:t xml:space="preserve">afspraken te maken over de uitvoering van het gezamenlijk </w:t>
      </w:r>
      <w:r>
        <w:t>P</w:t>
      </w:r>
      <w:r w:rsidRPr="00DA7801">
        <w:rPr>
          <w:smallCaps/>
        </w:rPr>
        <w:t>roject</w:t>
      </w:r>
      <w:r w:rsidRPr="00FD3961">
        <w:rPr>
          <w:szCs w:val="22"/>
          <w:lang w:val="nl-NL"/>
        </w:rPr>
        <w:t xml:space="preserve"> en over de rechten en plichten van alle betrokken partijen. Deze afspraken worden vastgelegd in een samenwerkingsovereenkomst.</w:t>
      </w:r>
    </w:p>
    <w:p w:rsidR="00C15479" w:rsidRPr="00FD3961" w:rsidRDefault="00C15479" w:rsidP="00C15479">
      <w:pPr>
        <w:autoSpaceDE w:val="0"/>
        <w:autoSpaceDN w:val="0"/>
        <w:adjustRightInd w:val="0"/>
        <w:rPr>
          <w:szCs w:val="22"/>
        </w:rPr>
      </w:pPr>
      <w:r w:rsidRPr="00FD3961">
        <w:rPr>
          <w:szCs w:val="22"/>
        </w:rPr>
        <w:t>In wat volgt wordt aangegeven welke essentiële elementen in een samenwerkingsovereenkomst opgenomen dienen te worden. De samenwerkingsovereenkomst dient tevens te worden opgesteld in uitvoering van de subsidie-overeenkomst (</w:t>
      </w:r>
      <w:r w:rsidRPr="00F142B4">
        <w:rPr>
          <w:smallCaps/>
          <w:szCs w:val="22"/>
        </w:rPr>
        <w:t>algemene</w:t>
      </w:r>
      <w:r>
        <w:rPr>
          <w:smallCaps/>
          <w:szCs w:val="22"/>
        </w:rPr>
        <w:t xml:space="preserve"> voorwaarden Clustersteun</w:t>
      </w:r>
      <w:r w:rsidRPr="00FD3961">
        <w:rPr>
          <w:szCs w:val="22"/>
        </w:rPr>
        <w:t xml:space="preserve"> en </w:t>
      </w:r>
      <w:proofErr w:type="spellStart"/>
      <w:r w:rsidRPr="00F142B4">
        <w:rPr>
          <w:smallCaps/>
          <w:szCs w:val="22"/>
        </w:rPr>
        <w:t>projectspecifieke</w:t>
      </w:r>
      <w:proofErr w:type="spellEnd"/>
      <w:r w:rsidRPr="00F142B4">
        <w:rPr>
          <w:smallCaps/>
          <w:szCs w:val="22"/>
        </w:rPr>
        <w:t xml:space="preserve"> voorwaarden</w:t>
      </w:r>
      <w:r w:rsidRPr="00FD3961">
        <w:rPr>
          <w:szCs w:val="22"/>
        </w:rPr>
        <w:t>) en mag er op geen enkel moment mee in tegenstrijd zijn.</w:t>
      </w:r>
    </w:p>
    <w:p w:rsidR="00C15479" w:rsidRPr="00FD3961" w:rsidRDefault="00C15479" w:rsidP="00C15479">
      <w:pPr>
        <w:autoSpaceDE w:val="0"/>
        <w:autoSpaceDN w:val="0"/>
        <w:adjustRightInd w:val="0"/>
        <w:rPr>
          <w:szCs w:val="22"/>
        </w:rPr>
      </w:pPr>
      <w:r w:rsidRPr="00FD3961">
        <w:rPr>
          <w:szCs w:val="22"/>
        </w:rPr>
        <w:t>De samenwerkingsovereenkomst dient minimaal de volgende materies te regelen:</w:t>
      </w:r>
    </w:p>
    <w:p w:rsidR="00C15479" w:rsidRPr="00FD3961" w:rsidRDefault="00C15479" w:rsidP="00C15479">
      <w:pPr>
        <w:numPr>
          <w:ilvl w:val="0"/>
          <w:numId w:val="2"/>
        </w:numPr>
        <w:autoSpaceDE w:val="0"/>
        <w:autoSpaceDN w:val="0"/>
        <w:adjustRightInd w:val="0"/>
        <w:spacing w:after="0"/>
        <w:ind w:left="425" w:hanging="425"/>
        <w:rPr>
          <w:szCs w:val="22"/>
        </w:rPr>
      </w:pPr>
      <w:r w:rsidRPr="00FD3961">
        <w:t>aanduiding van de c</w:t>
      </w:r>
      <w:r w:rsidRPr="00FD3961">
        <w:rPr>
          <w:szCs w:val="22"/>
        </w:rPr>
        <w:t>ontractanten, uitvoerders en een projectcoördinator/leider,</w:t>
      </w:r>
      <w:r w:rsidRPr="00FD3961">
        <w:t xml:space="preserve"> contactgegevens van de betrokken organisaties en projectidentificatie (nummer en titel van het </w:t>
      </w:r>
      <w:r>
        <w:t>P</w:t>
      </w:r>
      <w:r w:rsidRPr="00DA7801">
        <w:rPr>
          <w:smallCaps/>
        </w:rPr>
        <w:t>roject</w:t>
      </w:r>
      <w:r w:rsidRPr="00FD3961">
        <w:t>)</w:t>
      </w:r>
      <w:r w:rsidRPr="00FD3961">
        <w:rPr>
          <w:szCs w:val="22"/>
        </w:rPr>
        <w:t>;</w:t>
      </w:r>
    </w:p>
    <w:p w:rsidR="00C15479" w:rsidRPr="00FD3961" w:rsidRDefault="00C15479" w:rsidP="00C15479">
      <w:pPr>
        <w:numPr>
          <w:ilvl w:val="0"/>
          <w:numId w:val="2"/>
        </w:numPr>
        <w:autoSpaceDE w:val="0"/>
        <w:autoSpaceDN w:val="0"/>
        <w:adjustRightInd w:val="0"/>
        <w:spacing w:after="0"/>
        <w:ind w:left="425" w:hanging="425"/>
      </w:pPr>
      <w:proofErr w:type="gramStart"/>
      <w:r w:rsidRPr="00D15AE2">
        <w:t xml:space="preserve">het doel van de samenwerking: hiervoor kan verwezen worden naar het </w:t>
      </w:r>
      <w:r>
        <w:t>P</w:t>
      </w:r>
      <w:r w:rsidRPr="00D15AE2">
        <w:rPr>
          <w:smallCaps/>
        </w:rPr>
        <w:t>roject</w:t>
      </w:r>
      <w:r w:rsidRPr="00D15AE2">
        <w:t xml:space="preserve"> dat uitgevoerd zal worden (verwijzing naar de projectaanvraag en aanvullingen en naar de overeenkomst);</w:t>
      </w:r>
      <w:proofErr w:type="gramEnd"/>
    </w:p>
    <w:p w:rsidR="00C15479" w:rsidRPr="00FD3961" w:rsidRDefault="00C15479" w:rsidP="00C15479">
      <w:pPr>
        <w:numPr>
          <w:ilvl w:val="0"/>
          <w:numId w:val="2"/>
        </w:numPr>
        <w:autoSpaceDE w:val="0"/>
        <w:autoSpaceDN w:val="0"/>
        <w:adjustRightInd w:val="0"/>
        <w:spacing w:after="0"/>
        <w:ind w:left="425" w:hanging="425"/>
        <w:rPr>
          <w:szCs w:val="22"/>
        </w:rPr>
      </w:pPr>
      <w:r w:rsidRPr="00FD3961">
        <w:rPr>
          <w:szCs w:val="22"/>
        </w:rPr>
        <w:t>aanvang en duur van de overeenkomst;</w:t>
      </w:r>
    </w:p>
    <w:p w:rsidR="00C15479" w:rsidRPr="00FD3961" w:rsidRDefault="00C15479" w:rsidP="00C15479">
      <w:pPr>
        <w:numPr>
          <w:ilvl w:val="0"/>
          <w:numId w:val="2"/>
        </w:numPr>
        <w:autoSpaceDE w:val="0"/>
        <w:autoSpaceDN w:val="0"/>
        <w:adjustRightInd w:val="0"/>
        <w:spacing w:after="0"/>
        <w:ind w:left="425" w:hanging="425"/>
      </w:pPr>
      <w:r w:rsidRPr="00FD3961">
        <w:t xml:space="preserve">uit te voeren taken en opleveringen van het </w:t>
      </w:r>
      <w:r>
        <w:t>P</w:t>
      </w:r>
      <w:r w:rsidRPr="00DA7801">
        <w:rPr>
          <w:smallCaps/>
        </w:rPr>
        <w:t>roject</w:t>
      </w:r>
      <w:r w:rsidRPr="00FD3961">
        <w:t xml:space="preserve">, overleg en verslaggeving aan </w:t>
      </w:r>
      <w:r>
        <w:t>het agentschap</w:t>
      </w:r>
      <w:r w:rsidRPr="00FD3961">
        <w:t xml:space="preserve">, bevoegdheden (wie rapporteert, wie roept </w:t>
      </w:r>
      <w:r>
        <w:t>de stuurgroep samen</w:t>
      </w:r>
      <w:r w:rsidRPr="00FD3961">
        <w:t xml:space="preserve">...); </w:t>
      </w:r>
    </w:p>
    <w:p w:rsidR="00C15479" w:rsidRDefault="00C15479" w:rsidP="00C15479">
      <w:pPr>
        <w:numPr>
          <w:ilvl w:val="0"/>
          <w:numId w:val="2"/>
        </w:numPr>
        <w:autoSpaceDE w:val="0"/>
        <w:autoSpaceDN w:val="0"/>
        <w:adjustRightInd w:val="0"/>
        <w:spacing w:after="0"/>
        <w:ind w:left="425" w:hanging="425"/>
      </w:pPr>
      <w:proofErr w:type="gramStart"/>
      <w:r w:rsidRPr="00FD3961">
        <w:t>d</w:t>
      </w:r>
      <w:r w:rsidRPr="00FD3961">
        <w:rPr>
          <w:szCs w:val="22"/>
          <w:lang w:val="nl-NL"/>
        </w:rPr>
        <w:t xml:space="preserve">e </w:t>
      </w:r>
      <w:proofErr w:type="spellStart"/>
      <w:r w:rsidRPr="00FD3961">
        <w:rPr>
          <w:szCs w:val="22"/>
          <w:lang w:val="nl-NL"/>
        </w:rPr>
        <w:t>betalings</w:t>
      </w:r>
      <w:proofErr w:type="spellEnd"/>
      <w:r w:rsidRPr="00FD3961">
        <w:rPr>
          <w:szCs w:val="22"/>
        </w:rPr>
        <w:t xml:space="preserve">modaliteiten: </w:t>
      </w:r>
      <w:r w:rsidRPr="00FD3961">
        <w:t>wie ontvangt de subsidie, op welke manier wordt de</w:t>
      </w:r>
      <w:r>
        <w:t xml:space="preserve"> subsidie doorgestort naar mede</w:t>
      </w:r>
      <w:r w:rsidRPr="00FD3961">
        <w:t>aanvragers en uitvoerders;</w:t>
      </w:r>
      <w:proofErr w:type="gramEnd"/>
    </w:p>
    <w:p w:rsidR="00C15479" w:rsidRDefault="00C15479" w:rsidP="00C15479">
      <w:pPr>
        <w:numPr>
          <w:ilvl w:val="0"/>
          <w:numId w:val="2"/>
        </w:numPr>
        <w:autoSpaceDE w:val="0"/>
        <w:autoSpaceDN w:val="0"/>
        <w:adjustRightInd w:val="0"/>
        <w:spacing w:after="0"/>
        <w:ind w:left="425" w:hanging="425"/>
      </w:pPr>
      <w:r>
        <w:t>regeling van de cofinanciering</w:t>
      </w:r>
    </w:p>
    <w:p w:rsidR="00C15479" w:rsidRDefault="00C15479" w:rsidP="00C15479">
      <w:pPr>
        <w:numPr>
          <w:ilvl w:val="0"/>
          <w:numId w:val="2"/>
        </w:numPr>
        <w:autoSpaceDE w:val="0"/>
        <w:autoSpaceDN w:val="0"/>
        <w:adjustRightInd w:val="0"/>
        <w:spacing w:after="0"/>
        <w:ind w:left="425" w:hanging="425"/>
      </w:pPr>
      <w:r w:rsidRPr="00FD3961">
        <w:t>afspraken inzake publicaties en mededelingen;</w:t>
      </w:r>
    </w:p>
    <w:p w:rsidR="00C15479" w:rsidRPr="007B3385" w:rsidRDefault="00C15479" w:rsidP="00C15479">
      <w:pPr>
        <w:numPr>
          <w:ilvl w:val="0"/>
          <w:numId w:val="2"/>
        </w:numPr>
        <w:autoSpaceDE w:val="0"/>
        <w:autoSpaceDN w:val="0"/>
        <w:adjustRightInd w:val="0"/>
        <w:spacing w:after="0"/>
        <w:ind w:left="425" w:hanging="425"/>
      </w:pPr>
      <w:r w:rsidRPr="007B3385">
        <w:t>afspraken inzake IP van o.a. de in de innovatieclusters ingezette achtergrondkennis en inzake de bescherming van zaken ter profilering van de innovatiecluster (logo, communicatie, website, databanken, …)</w:t>
      </w:r>
    </w:p>
    <w:p w:rsidR="00C15479" w:rsidRPr="00FD3961" w:rsidRDefault="00C15479" w:rsidP="00C15479">
      <w:pPr>
        <w:numPr>
          <w:ilvl w:val="0"/>
          <w:numId w:val="2"/>
        </w:numPr>
        <w:autoSpaceDE w:val="0"/>
        <w:autoSpaceDN w:val="0"/>
        <w:adjustRightInd w:val="0"/>
        <w:spacing w:after="0"/>
        <w:ind w:left="425" w:hanging="425"/>
        <w:rPr>
          <w:szCs w:val="22"/>
        </w:rPr>
      </w:pPr>
      <w:r w:rsidRPr="00FD3961">
        <w:rPr>
          <w:szCs w:val="22"/>
        </w:rPr>
        <w:t>aansprakelijkheden en wijze van regeling van de onderlinge geschillen;</w:t>
      </w:r>
    </w:p>
    <w:p w:rsidR="00C15479" w:rsidRPr="00FD3961" w:rsidRDefault="00C15479" w:rsidP="00C15479">
      <w:pPr>
        <w:numPr>
          <w:ilvl w:val="0"/>
          <w:numId w:val="2"/>
        </w:numPr>
        <w:autoSpaceDE w:val="0"/>
        <w:autoSpaceDN w:val="0"/>
        <w:adjustRightInd w:val="0"/>
        <w:spacing w:after="0"/>
        <w:ind w:left="425" w:hanging="425"/>
        <w:rPr>
          <w:rFonts w:ascii="Arial" w:hAnsi="Arial" w:cs="Arial"/>
          <w:sz w:val="20"/>
        </w:rPr>
      </w:pPr>
      <w:r w:rsidRPr="00FD3961">
        <w:rPr>
          <w:szCs w:val="22"/>
          <w:lang w:val="nl-NL"/>
        </w:rPr>
        <w:t xml:space="preserve">er dient opgenomen </w:t>
      </w:r>
      <w:r>
        <w:rPr>
          <w:szCs w:val="22"/>
          <w:lang w:val="nl-NL"/>
        </w:rPr>
        <w:t xml:space="preserve">te </w:t>
      </w:r>
      <w:r w:rsidRPr="00FD3961">
        <w:rPr>
          <w:szCs w:val="22"/>
          <w:lang w:val="nl-NL"/>
        </w:rPr>
        <w:t xml:space="preserve">worden op welke manier de overeenkomst of de samenwerking kan worden beëindigd (eventueel met een opzegtermijn), of er sprake is van overdraagbaarheid bij de beëindiging van het contract. </w:t>
      </w:r>
    </w:p>
    <w:p w:rsidR="00C15479" w:rsidRPr="00FD3961" w:rsidRDefault="00C15479" w:rsidP="00C15479">
      <w:pPr>
        <w:spacing w:before="180"/>
      </w:pPr>
      <w:r w:rsidRPr="00FD3961">
        <w:t xml:space="preserve">De samenwerkingsovereenkomst dient door </w:t>
      </w:r>
      <w:r>
        <w:t>het agentschap</w:t>
      </w:r>
      <w:r w:rsidRPr="00FD3961">
        <w:t xml:space="preserve"> goedgekeurd te worden. </w:t>
      </w:r>
    </w:p>
    <w:p w:rsidR="00912887" w:rsidRDefault="00912887"/>
    <w:sectPr w:rsidR="0091288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5479" w:rsidRDefault="00C15479" w:rsidP="00C15479">
      <w:pPr>
        <w:spacing w:after="0"/>
      </w:pPr>
      <w:r>
        <w:separator/>
      </w:r>
    </w:p>
  </w:endnote>
  <w:endnote w:type="continuationSeparator" w:id="0">
    <w:p w:rsidR="00C15479" w:rsidRDefault="00C15479" w:rsidP="00C1547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5479" w:rsidRDefault="00C15479" w:rsidP="00C15479">
      <w:pPr>
        <w:spacing w:after="0"/>
      </w:pPr>
      <w:r>
        <w:separator/>
      </w:r>
    </w:p>
  </w:footnote>
  <w:footnote w:type="continuationSeparator" w:id="0">
    <w:p w:rsidR="00C15479" w:rsidRDefault="00C15479" w:rsidP="00C1547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5479" w:rsidRPr="002A78DF" w:rsidRDefault="00C15479" w:rsidP="00C15479">
    <w:pPr>
      <w:pStyle w:val="Header"/>
      <w:rPr>
        <w:sz w:val="20"/>
      </w:rPr>
    </w:pPr>
    <w:r w:rsidRPr="002A78DF">
      <w:rPr>
        <w:noProof/>
        <w:sz w:val="20"/>
        <w:lang w:eastAsia="nl-BE"/>
      </w:rPr>
      <w:drawing>
        <wp:inline distT="0" distB="0" distL="0" distR="0" wp14:anchorId="4F429AC2" wp14:editId="4937E0B7">
          <wp:extent cx="1466850" cy="61912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15479" w:rsidRPr="002A78DF" w:rsidRDefault="00C15479" w:rsidP="00C15479">
    <w:pPr>
      <w:pStyle w:val="Header"/>
      <w:rPr>
        <w:sz w:val="20"/>
      </w:rPr>
    </w:pPr>
    <w:r w:rsidRPr="002A78DF">
      <w:rPr>
        <w:sz w:val="20"/>
      </w:rPr>
      <w:t>Optredend voor het Hermesfonds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12CE0"/>
    <w:multiLevelType w:val="hybridMultilevel"/>
    <w:tmpl w:val="F092DBB0"/>
    <w:lvl w:ilvl="0" w:tplc="0813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077669"/>
    <w:multiLevelType w:val="hybridMultilevel"/>
    <w:tmpl w:val="EB70EB52"/>
    <w:lvl w:ilvl="0" w:tplc="37D43756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5DB439FA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813000B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9CFC0672" w:tentative="1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4" w:tplc="B9404356" w:tentative="1">
      <w:start w:val="1"/>
      <w:numFmt w:val="bullet"/>
      <w:lvlText w:val="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5" w:tplc="B2060B08" w:tentative="1">
      <w:start w:val="1"/>
      <w:numFmt w:val="bullet"/>
      <w:lvlText w:val="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84AC1D68" w:tentative="1">
      <w:start w:val="1"/>
      <w:numFmt w:val="bullet"/>
      <w:lvlText w:val="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7" w:tplc="75B2ADC2" w:tentative="1">
      <w:start w:val="1"/>
      <w:numFmt w:val="bullet"/>
      <w:lvlText w:val="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8" w:tplc="6FAC8F36" w:tentative="1">
      <w:start w:val="1"/>
      <w:numFmt w:val="bullet"/>
      <w:lvlText w:val="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EF7"/>
    <w:rsid w:val="00254034"/>
    <w:rsid w:val="00534EF7"/>
    <w:rsid w:val="00912887"/>
    <w:rsid w:val="00C15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26971C-9603-4375-9E77-321EE41FB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EF7"/>
    <w:pPr>
      <w:spacing w:after="120" w:line="240" w:lineRule="auto"/>
      <w:jc w:val="both"/>
    </w:pPr>
    <w:rPr>
      <w:rFonts w:ascii="Calibri" w:eastAsia="Times New Roman" w:hAnsi="Calibri" w:cs="Times New Roman"/>
      <w:szCs w:val="20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C15479"/>
    <w:pPr>
      <w:keepNext/>
      <w:keepLines/>
      <w:spacing w:before="200" w:after="60"/>
      <w:ind w:left="964" w:hanging="964"/>
      <w:outlineLvl w:val="1"/>
    </w:pPr>
    <w:rPr>
      <w:b/>
      <w:bCs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15479"/>
    <w:rPr>
      <w:rFonts w:ascii="Calibri" w:eastAsia="Times New Roman" w:hAnsi="Calibri" w:cs="Times New Roman"/>
      <w:b/>
      <w:bCs/>
      <w:sz w:val="28"/>
      <w:szCs w:val="26"/>
    </w:rPr>
  </w:style>
  <w:style w:type="paragraph" w:styleId="Header">
    <w:name w:val="header"/>
    <w:basedOn w:val="Normal"/>
    <w:link w:val="HeaderChar"/>
    <w:uiPriority w:val="99"/>
    <w:unhideWhenUsed/>
    <w:rsid w:val="00C15479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15479"/>
    <w:rPr>
      <w:rFonts w:ascii="Calibri" w:eastAsia="Times New Roman" w:hAnsi="Calibri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C15479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15479"/>
    <w:rPr>
      <w:rFonts w:ascii="Calibri" w:eastAsia="Times New Roman" w:hAnsi="Calibri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IWT</Company>
  <LinksUpToDate>false</LinksUpToDate>
  <CharactersWithSpaces>2235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Jeroen Fiers</dc:creator>
  <cp:keywords/>
  <dc:description/>
  <cp:lastModifiedBy>Jeroen Fiers</cp:lastModifiedBy>
  <cp:revision>3</cp:revision>
  <dcterms:created xsi:type="dcterms:W3CDTF">2016-08-31T06:48:00Z</dcterms:created>
  <dcterms:modified xsi:type="dcterms:W3CDTF">2016-10-25T06:58:00Z</dcterms:modified>
</cp:coreProperties>
</file>