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F982" w14:textId="0D8CE21B" w:rsidR="00DB5274" w:rsidRDefault="00DB5274" w:rsidP="006422D0">
      <w:pPr>
        <w:pStyle w:val="Kop1"/>
        <w:spacing w:before="120"/>
        <w:jc w:val="center"/>
        <w:rPr>
          <w:b/>
          <w:bCs/>
        </w:rPr>
      </w:pPr>
      <w:r w:rsidRPr="00DB5274">
        <w:rPr>
          <w:b/>
          <w:bCs/>
        </w:rPr>
        <w:t>A</w:t>
      </w:r>
      <w:r>
        <w:rPr>
          <w:b/>
          <w:bCs/>
        </w:rPr>
        <w:t>nnex</w:t>
      </w:r>
      <w:r w:rsidR="00E01709">
        <w:rPr>
          <w:b/>
          <w:bCs/>
        </w:rPr>
        <w:t xml:space="preserve"> bij Kader Beheerssystemen IPCEI</w:t>
      </w:r>
    </w:p>
    <w:p w14:paraId="660F988E" w14:textId="64244B9E" w:rsidR="0088163E" w:rsidRPr="00DB5274" w:rsidRDefault="00DB5274" w:rsidP="00DB5274">
      <w:pPr>
        <w:pStyle w:val="Kop1"/>
        <w:jc w:val="center"/>
        <w:rPr>
          <w:b/>
          <w:bCs/>
        </w:rPr>
      </w:pPr>
      <w:r>
        <w:rPr>
          <w:b/>
          <w:bCs/>
        </w:rPr>
        <w:t>Alternatieve kaders voor staat</w:t>
      </w:r>
      <w:r w:rsidR="007D203E">
        <w:rPr>
          <w:b/>
          <w:bCs/>
        </w:rPr>
        <w:t>s</w:t>
      </w:r>
      <w:r>
        <w:rPr>
          <w:b/>
          <w:bCs/>
        </w:rPr>
        <w:t xml:space="preserve">steunrechtelijke goedkeuring </w:t>
      </w:r>
    </w:p>
    <w:p w14:paraId="17412BA8" w14:textId="54DD1B10" w:rsidR="00DD0A7B" w:rsidRDefault="00DB5274" w:rsidP="003B0525">
      <w:pPr>
        <w:pStyle w:val="Kop1"/>
        <w:numPr>
          <w:ilvl w:val="0"/>
          <w:numId w:val="16"/>
        </w:numPr>
        <w:ind w:left="357" w:hanging="357"/>
      </w:pPr>
      <w:r>
        <w:t>CEEAG</w:t>
      </w:r>
    </w:p>
    <w:p w14:paraId="78E70C70" w14:textId="35C04884" w:rsidR="00D03733" w:rsidRDefault="00D03733" w:rsidP="003B0525">
      <w:pPr>
        <w:pStyle w:val="Kop2"/>
        <w:spacing w:before="120"/>
        <w:ind w:left="357"/>
      </w:pPr>
      <w:r>
        <w:t>Algemeen</w:t>
      </w:r>
    </w:p>
    <w:p w14:paraId="042EA40F" w14:textId="17EB22B6" w:rsidR="00BD2B3D" w:rsidRDefault="00655F55" w:rsidP="005773AF">
      <w:pPr>
        <w:pStyle w:val="Lijstalinea"/>
        <w:numPr>
          <w:ilvl w:val="0"/>
          <w:numId w:val="17"/>
        </w:numPr>
        <w:jc w:val="both"/>
        <w:rPr>
          <w:rFonts w:cstheme="minorHAnsi"/>
        </w:rPr>
      </w:pPr>
      <w:r w:rsidRPr="005773AF">
        <w:rPr>
          <w:rFonts w:cstheme="minorHAnsi"/>
        </w:rPr>
        <w:t xml:space="preserve">Voor een aantal aanvragen ingediend voor prenotificatie </w:t>
      </w:r>
      <w:r w:rsidR="005773AF" w:rsidRPr="005773AF">
        <w:rPr>
          <w:rFonts w:cstheme="minorHAnsi"/>
        </w:rPr>
        <w:t xml:space="preserve">op 31 augustus 2021 als onderdeel van </w:t>
      </w:r>
      <w:r w:rsidRPr="005773AF">
        <w:rPr>
          <w:rFonts w:cstheme="minorHAnsi"/>
        </w:rPr>
        <w:t xml:space="preserve">de golf </w:t>
      </w:r>
      <w:proofErr w:type="spellStart"/>
      <w:r w:rsidRPr="005773AF">
        <w:rPr>
          <w:rFonts w:cstheme="minorHAnsi"/>
        </w:rPr>
        <w:t>Industry</w:t>
      </w:r>
      <w:proofErr w:type="spellEnd"/>
      <w:r w:rsidRPr="005773AF">
        <w:rPr>
          <w:rFonts w:cstheme="minorHAnsi"/>
        </w:rPr>
        <w:t xml:space="preserve"> van IPCEI-waterstof werd in de loop van de evaluatie door de Commissie voorgesteld om gebruik te maken van het CEEAG-kader voor staatssteunrechtelijke goedkeuring. Dit was het rechtstreekse gevolg van de </w:t>
      </w:r>
      <w:r w:rsidR="00BD2B3D" w:rsidRPr="005773AF">
        <w:rPr>
          <w:rFonts w:cstheme="minorHAnsi"/>
        </w:rPr>
        <w:t xml:space="preserve">publicatie van de nieuwe IPCEI-mededeling op 25 november 2021 </w:t>
      </w:r>
      <w:r w:rsidR="00987F0E" w:rsidRPr="005773AF">
        <w:rPr>
          <w:rFonts w:cstheme="minorHAnsi"/>
        </w:rPr>
        <w:t xml:space="preserve">waarbij voor infrastructuur een open acces karakter vereist </w:t>
      </w:r>
      <w:r w:rsidR="00CF363D">
        <w:rPr>
          <w:rFonts w:cstheme="minorHAnsi"/>
        </w:rPr>
        <w:t xml:space="preserve">wordt. </w:t>
      </w:r>
    </w:p>
    <w:p w14:paraId="0F1B912A" w14:textId="77777777" w:rsidR="005773AF" w:rsidRPr="005773AF" w:rsidRDefault="005773AF" w:rsidP="005773AF">
      <w:pPr>
        <w:pStyle w:val="Lijstalinea"/>
        <w:jc w:val="both"/>
        <w:rPr>
          <w:rFonts w:cstheme="minorHAnsi"/>
        </w:rPr>
      </w:pPr>
    </w:p>
    <w:p w14:paraId="38A7780E" w14:textId="5032001D" w:rsidR="00FA3165" w:rsidRDefault="005773AF" w:rsidP="00DC1996">
      <w:pPr>
        <w:pStyle w:val="Lijstalinea"/>
        <w:numPr>
          <w:ilvl w:val="0"/>
          <w:numId w:val="17"/>
        </w:numPr>
        <w:jc w:val="both"/>
      </w:pPr>
      <w:proofErr w:type="spellStart"/>
      <w:r w:rsidRPr="00020412">
        <w:rPr>
          <w:rFonts w:cstheme="minorHAnsi"/>
        </w:rPr>
        <w:t>I</w:t>
      </w:r>
      <w:r w:rsidR="00655F55" w:rsidRPr="00020412">
        <w:rPr>
          <w:rFonts w:cstheme="minorHAnsi"/>
        </w:rPr>
        <w:t>nfrastructuur</w:t>
      </w:r>
      <w:r w:rsidRPr="00020412">
        <w:rPr>
          <w:rFonts w:cstheme="minorHAnsi"/>
        </w:rPr>
        <w:t>-</w:t>
      </w:r>
      <w:r w:rsidR="00987F0E" w:rsidRPr="00020412">
        <w:rPr>
          <w:rFonts w:cstheme="minorHAnsi"/>
        </w:rPr>
        <w:t>projecten</w:t>
      </w:r>
      <w:proofErr w:type="spellEnd"/>
      <w:r w:rsidR="00987F0E" w:rsidRPr="00020412">
        <w:rPr>
          <w:rFonts w:cstheme="minorHAnsi"/>
        </w:rPr>
        <w:t xml:space="preserve"> </w:t>
      </w:r>
      <w:r w:rsidR="00655F55" w:rsidRPr="00020412">
        <w:rPr>
          <w:rFonts w:cstheme="minorHAnsi"/>
        </w:rPr>
        <w:t xml:space="preserve">(EET) </w:t>
      </w:r>
      <w:r w:rsidR="00BD2B3D" w:rsidRPr="00020412">
        <w:rPr>
          <w:rFonts w:cstheme="minorHAnsi"/>
        </w:rPr>
        <w:t>waar de resultaten zich sterk richten op het productieapparaat van één of enkele bedrijven</w:t>
      </w:r>
      <w:r w:rsidRPr="00020412">
        <w:rPr>
          <w:rFonts w:cstheme="minorHAnsi"/>
        </w:rPr>
        <w:t xml:space="preserve">, zoals doorgaans het geval is bij </w:t>
      </w:r>
      <w:proofErr w:type="spellStart"/>
      <w:r w:rsidRPr="00020412">
        <w:rPr>
          <w:rFonts w:cstheme="minorHAnsi"/>
        </w:rPr>
        <w:t>decarbonisatieprojecten</w:t>
      </w:r>
      <w:proofErr w:type="spellEnd"/>
      <w:r w:rsidRPr="00020412">
        <w:rPr>
          <w:rFonts w:cstheme="minorHAnsi"/>
        </w:rPr>
        <w:t xml:space="preserve">, sluiten per definitie minder goed aan bij het concept </w:t>
      </w:r>
      <w:r w:rsidR="00A01DB8" w:rsidRPr="00020412">
        <w:rPr>
          <w:rFonts w:cstheme="minorHAnsi"/>
        </w:rPr>
        <w:t>van open</w:t>
      </w:r>
      <w:r w:rsidR="0036767F" w:rsidRPr="00020412">
        <w:rPr>
          <w:rFonts w:cstheme="minorHAnsi"/>
        </w:rPr>
        <w:t xml:space="preserve"> </w:t>
      </w:r>
      <w:r w:rsidR="00A01DB8" w:rsidRPr="00020412">
        <w:rPr>
          <w:rFonts w:cstheme="minorHAnsi"/>
        </w:rPr>
        <w:t>acces</w:t>
      </w:r>
      <w:r w:rsidR="0036767F" w:rsidRPr="00020412">
        <w:rPr>
          <w:rFonts w:cstheme="minorHAnsi"/>
        </w:rPr>
        <w:t xml:space="preserve">. Het belang van zo’n projecten voor </w:t>
      </w:r>
      <w:r w:rsidRPr="00020412">
        <w:rPr>
          <w:rFonts w:cstheme="minorHAnsi"/>
        </w:rPr>
        <w:t xml:space="preserve">transitie en </w:t>
      </w:r>
      <w:r w:rsidR="00E119BA" w:rsidRPr="00020412">
        <w:rPr>
          <w:rFonts w:cstheme="minorHAnsi"/>
        </w:rPr>
        <w:t>emissiereductie</w:t>
      </w:r>
      <w:r w:rsidR="0036767F" w:rsidRPr="00020412">
        <w:rPr>
          <w:rFonts w:cstheme="minorHAnsi"/>
        </w:rPr>
        <w:t xml:space="preserve"> w</w:t>
      </w:r>
      <w:r w:rsidRPr="00020412">
        <w:rPr>
          <w:rFonts w:cstheme="minorHAnsi"/>
        </w:rPr>
        <w:t>ordt evenwel niet in vraag gesteld. Door de publicatie van het nieuwe kader voor milieuprojecten op 18 februari 2022 (</w:t>
      </w:r>
      <w:proofErr w:type="spellStart"/>
      <w:r w:rsidRPr="00020412">
        <w:rPr>
          <w:rFonts w:cstheme="minorHAnsi"/>
        </w:rPr>
        <w:t>Climate</w:t>
      </w:r>
      <w:proofErr w:type="spellEnd"/>
      <w:r w:rsidRPr="00020412">
        <w:rPr>
          <w:rFonts w:cstheme="minorHAnsi"/>
        </w:rPr>
        <w:t xml:space="preserve"> Environment Energy </w:t>
      </w:r>
      <w:proofErr w:type="spellStart"/>
      <w:r w:rsidRPr="00020412">
        <w:rPr>
          <w:rFonts w:cstheme="minorHAnsi"/>
        </w:rPr>
        <w:t>Aid</w:t>
      </w:r>
      <w:proofErr w:type="spellEnd"/>
      <w:r w:rsidRPr="00020412">
        <w:rPr>
          <w:rFonts w:cstheme="minorHAnsi"/>
        </w:rPr>
        <w:t xml:space="preserve"> </w:t>
      </w:r>
      <w:proofErr w:type="spellStart"/>
      <w:r w:rsidRPr="00020412">
        <w:rPr>
          <w:rFonts w:cstheme="minorHAnsi"/>
        </w:rPr>
        <w:t>Guidelines</w:t>
      </w:r>
      <w:proofErr w:type="spellEnd"/>
      <w:r w:rsidRPr="00020412">
        <w:rPr>
          <w:rFonts w:cstheme="minorHAnsi"/>
        </w:rPr>
        <w:t>-CEEAG)</w:t>
      </w:r>
      <w:r w:rsidRPr="00FA3165">
        <w:rPr>
          <w:rStyle w:val="Voetnootmarkering"/>
          <w:rFonts w:cstheme="minorHAnsi"/>
        </w:rPr>
        <w:footnoteReference w:id="1"/>
      </w:r>
      <w:r w:rsidRPr="00020412">
        <w:rPr>
          <w:rFonts w:cstheme="minorHAnsi"/>
        </w:rPr>
        <w:t xml:space="preserve"> </w:t>
      </w:r>
      <w:r w:rsidR="00020412">
        <w:rPr>
          <w:rFonts w:cstheme="minorHAnsi"/>
        </w:rPr>
        <w:t xml:space="preserve">met </w:t>
      </w:r>
      <w:r w:rsidRPr="00020412">
        <w:rPr>
          <w:rFonts w:cstheme="minorHAnsi"/>
        </w:rPr>
        <w:t xml:space="preserve">een clausule </w:t>
      </w:r>
      <w:r w:rsidRPr="00E119BA">
        <w:t>voor</w:t>
      </w:r>
      <w:r w:rsidR="00020412">
        <w:t xml:space="preserve"> ver</w:t>
      </w:r>
      <w:r w:rsidRPr="00E119BA">
        <w:t>eenvoudigde toegang voor aanvragen die reeds een preselectie doorlopen hadden in het kader van de aanvraag voor IPCEI</w:t>
      </w:r>
      <w:r>
        <w:t xml:space="preserve"> was bovendien een alternatief kader beschikbaar</w:t>
      </w:r>
      <w:r w:rsidR="00020412">
        <w:t xml:space="preserve">. Daarom werd </w:t>
      </w:r>
      <w:r w:rsidR="0036767F" w:rsidRPr="00020412">
        <w:rPr>
          <w:rFonts w:cstheme="minorHAnsi"/>
        </w:rPr>
        <w:t>voorgesteld om deze projecten te laten doorgaan, maar om de staatssteunrechtelijke goedkeuring te evalueren op basis van het nieuwe CEEAG</w:t>
      </w:r>
      <w:r w:rsidR="00020412">
        <w:rPr>
          <w:rFonts w:cstheme="minorHAnsi"/>
        </w:rPr>
        <w:t>-</w:t>
      </w:r>
      <w:r w:rsidR="0036767F" w:rsidRPr="00020412">
        <w:rPr>
          <w:rFonts w:cstheme="minorHAnsi"/>
        </w:rPr>
        <w:t xml:space="preserve">kader. </w:t>
      </w:r>
      <w:r w:rsidR="00FA3165" w:rsidRPr="00E119BA">
        <w:t xml:space="preserve">Deze shift vereist geen nieuwe aanvraagprocedure in een nieuw proces. </w:t>
      </w:r>
      <w:r w:rsidR="00020412">
        <w:t>D</w:t>
      </w:r>
      <w:r w:rsidR="00FA3165" w:rsidRPr="00E119BA">
        <w:t xml:space="preserve">e lopende behandeling opgestart in IPCEI gaat verder maar met het oog op goedkeuring onder het CEEAG-kader. De projecten blijven ook deel van de IPCEI-portfolio. </w:t>
      </w:r>
    </w:p>
    <w:p w14:paraId="4ECB6973" w14:textId="77777777" w:rsidR="00E119BA" w:rsidRDefault="00E119BA" w:rsidP="00E119BA">
      <w:pPr>
        <w:pStyle w:val="Lijstalinea"/>
      </w:pPr>
    </w:p>
    <w:p w14:paraId="74E6A16B" w14:textId="24B2E744" w:rsidR="00E119BA" w:rsidRPr="00E119BA" w:rsidRDefault="00A01DB8" w:rsidP="00AB441F">
      <w:pPr>
        <w:pStyle w:val="Lijstalinea"/>
        <w:numPr>
          <w:ilvl w:val="0"/>
          <w:numId w:val="17"/>
        </w:numPr>
        <w:jc w:val="both"/>
      </w:pPr>
      <w:r>
        <w:t>Productie van waterstof kan aanvaard worden als infrastructuur, maar enkel voor zeer grote installaties van meer dan 50 MW, als gevolg werden projecten voo</w:t>
      </w:r>
      <w:r w:rsidR="00EC7E92">
        <w:t>r</w:t>
      </w:r>
      <w:r>
        <w:t xml:space="preserve"> productie van waterstof met een lagere omvang </w:t>
      </w:r>
      <w:r w:rsidR="00020412">
        <w:t xml:space="preserve">eveneens </w:t>
      </w:r>
      <w:r>
        <w:t>verschoven naar het CEEAG</w:t>
      </w:r>
      <w:r w:rsidR="00CF363D">
        <w:t>-</w:t>
      </w:r>
      <w:r>
        <w:t>kader. Uiteindelijk werden ook projecten met een focus op laadstations al</w:t>
      </w:r>
      <w:r w:rsidR="00EC7E92">
        <w:t>s</w:t>
      </w:r>
      <w:r>
        <w:t xml:space="preserve"> algemeen principe verschoven naar CEEAG. </w:t>
      </w:r>
    </w:p>
    <w:p w14:paraId="6B285871" w14:textId="77777777" w:rsidR="00020412" w:rsidRDefault="00A01DB8" w:rsidP="00302699">
      <w:pPr>
        <w:pStyle w:val="coverfiche"/>
        <w:numPr>
          <w:ilvl w:val="0"/>
          <w:numId w:val="17"/>
        </w:numPr>
        <w:rPr>
          <w:sz w:val="22"/>
          <w:szCs w:val="22"/>
        </w:rPr>
      </w:pPr>
      <w:r w:rsidRPr="00EC7E92">
        <w:rPr>
          <w:sz w:val="22"/>
          <w:szCs w:val="22"/>
        </w:rPr>
        <w:t xml:space="preserve">De vereenvoudigde toegang tot CEEAG wordt </w:t>
      </w:r>
      <w:r w:rsidR="00EC7E92" w:rsidRPr="00EC7E92">
        <w:rPr>
          <w:sz w:val="22"/>
          <w:szCs w:val="22"/>
        </w:rPr>
        <w:t xml:space="preserve">toegekend </w:t>
      </w:r>
      <w:r w:rsidRPr="00EC7E92">
        <w:rPr>
          <w:sz w:val="22"/>
          <w:szCs w:val="22"/>
        </w:rPr>
        <w:t xml:space="preserve">aan projecten die deelgenomen hebben aan een </w:t>
      </w:r>
      <w:proofErr w:type="spellStart"/>
      <w:r w:rsidR="00FA3165" w:rsidRPr="00EC7E92">
        <w:rPr>
          <w:sz w:val="22"/>
          <w:szCs w:val="22"/>
        </w:rPr>
        <w:t>expression</w:t>
      </w:r>
      <w:proofErr w:type="spellEnd"/>
      <w:r w:rsidR="00FA3165" w:rsidRPr="00EC7E92">
        <w:rPr>
          <w:sz w:val="22"/>
          <w:szCs w:val="22"/>
        </w:rPr>
        <w:t xml:space="preserve"> of interest en </w:t>
      </w:r>
      <w:proofErr w:type="spellStart"/>
      <w:r w:rsidR="00FA3165" w:rsidRPr="00EC7E92">
        <w:rPr>
          <w:sz w:val="22"/>
          <w:szCs w:val="22"/>
        </w:rPr>
        <w:t>ge</w:t>
      </w:r>
      <w:r w:rsidR="00EC7E92" w:rsidRPr="00EC7E92">
        <w:rPr>
          <w:sz w:val="22"/>
          <w:szCs w:val="22"/>
        </w:rPr>
        <w:t>pre</w:t>
      </w:r>
      <w:r w:rsidR="00FA3165" w:rsidRPr="00EC7E92">
        <w:rPr>
          <w:sz w:val="22"/>
          <w:szCs w:val="22"/>
        </w:rPr>
        <w:t>selecteerd</w:t>
      </w:r>
      <w:proofErr w:type="spellEnd"/>
      <w:r w:rsidR="00FA3165" w:rsidRPr="00EC7E92">
        <w:rPr>
          <w:sz w:val="22"/>
          <w:szCs w:val="22"/>
        </w:rPr>
        <w:t xml:space="preserve"> w</w:t>
      </w:r>
      <w:r w:rsidRPr="00EC7E92">
        <w:rPr>
          <w:sz w:val="22"/>
          <w:szCs w:val="22"/>
        </w:rPr>
        <w:t>erden op nationaal (regionaal) niveau voor integratie in een IPCEI.</w:t>
      </w:r>
      <w:r w:rsidR="00EC7E92" w:rsidRPr="00EC7E92">
        <w:rPr>
          <w:sz w:val="22"/>
          <w:szCs w:val="22"/>
        </w:rPr>
        <w:t xml:space="preserve"> Ook projecten die nog geen </w:t>
      </w:r>
      <w:r w:rsidR="00111539">
        <w:rPr>
          <w:sz w:val="22"/>
          <w:szCs w:val="22"/>
        </w:rPr>
        <w:t xml:space="preserve">prenotificatie opgestart hebben </w:t>
      </w:r>
      <w:r w:rsidR="00EC7E92" w:rsidRPr="00EC7E92">
        <w:rPr>
          <w:sz w:val="22"/>
          <w:szCs w:val="22"/>
        </w:rPr>
        <w:t>kunnen hier dus voo</w:t>
      </w:r>
      <w:r w:rsidR="00EC7E92">
        <w:rPr>
          <w:sz w:val="22"/>
          <w:szCs w:val="22"/>
        </w:rPr>
        <w:t>r</w:t>
      </w:r>
      <w:r w:rsidR="00EC7E92" w:rsidRPr="00EC7E92">
        <w:rPr>
          <w:sz w:val="22"/>
          <w:szCs w:val="22"/>
        </w:rPr>
        <w:t xml:space="preserve"> opteren</w:t>
      </w:r>
      <w:r w:rsidR="00020412">
        <w:rPr>
          <w:sz w:val="22"/>
          <w:szCs w:val="22"/>
        </w:rPr>
        <w:t>.</w:t>
      </w:r>
    </w:p>
    <w:p w14:paraId="755E30AD" w14:textId="77777777" w:rsidR="00020412" w:rsidRDefault="00020412" w:rsidP="00020412">
      <w:pPr>
        <w:pStyle w:val="coverfiche"/>
        <w:ind w:left="720"/>
        <w:rPr>
          <w:sz w:val="22"/>
          <w:szCs w:val="22"/>
        </w:rPr>
      </w:pPr>
    </w:p>
    <w:p w14:paraId="51269E02" w14:textId="0943E2CE" w:rsidR="00FA3165" w:rsidRPr="00EC7E92" w:rsidRDefault="00020412" w:rsidP="00302699">
      <w:pPr>
        <w:pStyle w:val="coverfiche"/>
        <w:numPr>
          <w:ilvl w:val="0"/>
          <w:numId w:val="17"/>
        </w:numPr>
        <w:rPr>
          <w:sz w:val="22"/>
          <w:szCs w:val="22"/>
        </w:rPr>
      </w:pPr>
      <w:r>
        <w:rPr>
          <w:sz w:val="22"/>
          <w:szCs w:val="22"/>
        </w:rPr>
        <w:t>P</w:t>
      </w:r>
      <w:r w:rsidR="00FA3165" w:rsidRPr="00EC7E92">
        <w:rPr>
          <w:sz w:val="22"/>
          <w:szCs w:val="22"/>
        </w:rPr>
        <w:t>rojecten die geen deel uitmaken van een IPCEI</w:t>
      </w:r>
      <w:r w:rsidR="00EC7E92">
        <w:rPr>
          <w:sz w:val="22"/>
          <w:szCs w:val="22"/>
        </w:rPr>
        <w:t>-</w:t>
      </w:r>
      <w:r w:rsidR="00FA3165" w:rsidRPr="00EC7E92">
        <w:rPr>
          <w:sz w:val="22"/>
          <w:szCs w:val="22"/>
        </w:rPr>
        <w:t xml:space="preserve">oproep kunnen geen gebruik maken van de vereenvoudigde toegang tot CEEAG en </w:t>
      </w:r>
      <w:r>
        <w:rPr>
          <w:sz w:val="22"/>
          <w:szCs w:val="22"/>
        </w:rPr>
        <w:t xml:space="preserve">kunnen </w:t>
      </w:r>
      <w:r w:rsidR="00FA3165" w:rsidRPr="00EC7E92">
        <w:rPr>
          <w:sz w:val="22"/>
          <w:szCs w:val="22"/>
        </w:rPr>
        <w:t xml:space="preserve">enkel een goedkeuring </w:t>
      </w:r>
      <w:r w:rsidR="00EC7E92">
        <w:rPr>
          <w:sz w:val="22"/>
          <w:szCs w:val="22"/>
        </w:rPr>
        <w:t xml:space="preserve">aanvragen </w:t>
      </w:r>
      <w:r w:rsidR="00FA3165" w:rsidRPr="00EC7E92">
        <w:rPr>
          <w:sz w:val="22"/>
          <w:szCs w:val="22"/>
        </w:rPr>
        <w:t xml:space="preserve">onder het CEAAG-kader </w:t>
      </w:r>
      <w:r w:rsidR="00EC7E92">
        <w:rPr>
          <w:sz w:val="22"/>
          <w:szCs w:val="22"/>
        </w:rPr>
        <w:t xml:space="preserve">na het doorlopen van </w:t>
      </w:r>
      <w:r w:rsidR="00CF363D">
        <w:rPr>
          <w:sz w:val="22"/>
          <w:szCs w:val="22"/>
        </w:rPr>
        <w:t xml:space="preserve">strenge toegangsvoorwaarden met inbegrip van een </w:t>
      </w:r>
      <w:proofErr w:type="spellStart"/>
      <w:r w:rsidR="00D03733" w:rsidRPr="00EC7E92">
        <w:rPr>
          <w:sz w:val="22"/>
          <w:szCs w:val="22"/>
        </w:rPr>
        <w:t>bidding</w:t>
      </w:r>
      <w:proofErr w:type="spellEnd"/>
      <w:r w:rsidR="00D03733" w:rsidRPr="00EC7E92">
        <w:rPr>
          <w:sz w:val="22"/>
          <w:szCs w:val="22"/>
        </w:rPr>
        <w:t xml:space="preserve"> proces. </w:t>
      </w:r>
    </w:p>
    <w:p w14:paraId="7D1E1883" w14:textId="77777777" w:rsidR="00FA3165" w:rsidRDefault="00FA3165" w:rsidP="00FA3165">
      <w:pPr>
        <w:pStyle w:val="coverfiche"/>
        <w:rPr>
          <w:sz w:val="22"/>
          <w:szCs w:val="22"/>
        </w:rPr>
      </w:pPr>
    </w:p>
    <w:p w14:paraId="0BB57DF7" w14:textId="77777777" w:rsidR="00FA3165" w:rsidRPr="00FA3165" w:rsidRDefault="00FA3165" w:rsidP="00C94D87">
      <w:pPr>
        <w:pStyle w:val="coverfiche"/>
        <w:numPr>
          <w:ilvl w:val="0"/>
          <w:numId w:val="17"/>
        </w:numPr>
        <w:rPr>
          <w:sz w:val="22"/>
          <w:szCs w:val="22"/>
        </w:rPr>
      </w:pPr>
      <w:r w:rsidRPr="00FA3165">
        <w:rPr>
          <w:sz w:val="22"/>
          <w:szCs w:val="22"/>
        </w:rPr>
        <w:t>Het Vlaamse proces voor steuntoekenning en vastlegging wordt niet gewijzigd door de shift in kader, het enige verschil is de juridische basis voor staatssteunrechtelijke goedkeuring.</w:t>
      </w:r>
    </w:p>
    <w:p w14:paraId="3C483117" w14:textId="7101AD7E" w:rsidR="00BD2B3D" w:rsidRPr="00FA3165" w:rsidRDefault="00BD2B3D" w:rsidP="00BD2B3D">
      <w:pPr>
        <w:pStyle w:val="Lijstalinea"/>
        <w:ind w:left="0"/>
        <w:jc w:val="both"/>
        <w:rPr>
          <w:rFonts w:cstheme="minorHAnsi"/>
        </w:rPr>
      </w:pPr>
    </w:p>
    <w:p w14:paraId="32B00B1F" w14:textId="2119D058" w:rsidR="00E01709" w:rsidRDefault="00E01709" w:rsidP="00C94D87">
      <w:pPr>
        <w:pStyle w:val="Lijstalinea"/>
        <w:numPr>
          <w:ilvl w:val="0"/>
          <w:numId w:val="17"/>
        </w:numPr>
        <w:jc w:val="both"/>
        <w:rPr>
          <w:rFonts w:cstheme="minorHAnsi"/>
        </w:rPr>
      </w:pPr>
      <w:r>
        <w:rPr>
          <w:rFonts w:cstheme="minorHAnsi"/>
        </w:rPr>
        <w:t>Gezien de wijziging in een lopend proces werd dit als volgt opgevangen in het Vlaamse proces voor steuntoekenning:</w:t>
      </w:r>
    </w:p>
    <w:p w14:paraId="52A59FD3" w14:textId="48A79658" w:rsidR="00D03733" w:rsidRPr="00FA3165" w:rsidRDefault="00D03733" w:rsidP="00C94D87">
      <w:pPr>
        <w:pStyle w:val="Kop2"/>
        <w:ind w:left="360"/>
        <w:rPr>
          <w:rFonts w:asciiTheme="minorHAnsi" w:hAnsiTheme="minorHAnsi" w:cstheme="minorHAnsi"/>
          <w:sz w:val="22"/>
          <w:szCs w:val="22"/>
        </w:rPr>
      </w:pPr>
      <w:r>
        <w:t>O&amp;O&amp;I</w:t>
      </w:r>
      <w:r w:rsidR="00895F6D">
        <w:t>-</w:t>
      </w:r>
      <w:r>
        <w:t>component</w:t>
      </w:r>
    </w:p>
    <w:p w14:paraId="56634643" w14:textId="6FC54AFB" w:rsidR="00D03733" w:rsidRDefault="00D03733" w:rsidP="006422D0">
      <w:pPr>
        <w:pStyle w:val="Lijstalinea"/>
        <w:numPr>
          <w:ilvl w:val="0"/>
          <w:numId w:val="18"/>
        </w:numPr>
        <w:jc w:val="both"/>
      </w:pPr>
      <w:r>
        <w:t>Het CEEAG</w:t>
      </w:r>
      <w:r w:rsidR="00895F6D">
        <w:t>-</w:t>
      </w:r>
      <w:r>
        <w:t xml:space="preserve">kader </w:t>
      </w:r>
      <w:r w:rsidR="00020412">
        <w:t xml:space="preserve">biedt </w:t>
      </w:r>
      <w:r>
        <w:t>geen basis voor goedkeuring van O&amp;O&amp;I. In projecten die overgedragen worden naar het CEAAG</w:t>
      </w:r>
      <w:r w:rsidR="00895F6D">
        <w:t>-</w:t>
      </w:r>
      <w:r>
        <w:t xml:space="preserve">kader </w:t>
      </w:r>
      <w:r w:rsidR="00020412">
        <w:t xml:space="preserve">heeft de </w:t>
      </w:r>
      <w:r w:rsidR="00EC7E92">
        <w:t xml:space="preserve">Commissie </w:t>
      </w:r>
      <w:r w:rsidR="00020412">
        <w:t xml:space="preserve">voorgesteld om steun aan de O&amp;O&amp;I-component toe te kennen </w:t>
      </w:r>
      <w:r w:rsidR="00EC7E92">
        <w:t xml:space="preserve">op </w:t>
      </w:r>
      <w:r>
        <w:t>basis van de algemene vrijstellingsverordening</w:t>
      </w:r>
      <w:r w:rsidR="00EC7E92">
        <w:t xml:space="preserve"> </w:t>
      </w:r>
      <w:r w:rsidR="00020412">
        <w:t>(GBER)</w:t>
      </w:r>
      <w:r>
        <w:t xml:space="preserve">. </w:t>
      </w:r>
      <w:r w:rsidR="00020412">
        <w:t>Z</w:t>
      </w:r>
      <w:r>
        <w:t xml:space="preserve">oals bij de </w:t>
      </w:r>
      <w:r w:rsidRPr="00297CFF">
        <w:t>O&amp;O&amp;I</w:t>
      </w:r>
      <w:r w:rsidR="00895F6D">
        <w:t>-</w:t>
      </w:r>
      <w:r w:rsidRPr="00297CFF">
        <w:t xml:space="preserve">component </w:t>
      </w:r>
      <w:r>
        <w:t xml:space="preserve">van IPCEI </w:t>
      </w:r>
      <w:r w:rsidRPr="00297CFF">
        <w:t>wordt</w:t>
      </w:r>
      <w:r>
        <w:t xml:space="preserve"> hier steun toegekend op basis van de rechtsgrond in de bestaande besluiten van de</w:t>
      </w:r>
      <w:r w:rsidR="00895F6D">
        <w:t xml:space="preserve"> </w:t>
      </w:r>
      <w:r>
        <w:t>Vlaamse regering voor steun aan O&amp;O&amp;I</w:t>
      </w:r>
      <w:r w:rsidR="00CF363D">
        <w:rPr>
          <w:rStyle w:val="Voetnootmarkering"/>
        </w:rPr>
        <w:footnoteReference w:id="2"/>
      </w:r>
      <w:r w:rsidR="00CF363D">
        <w:t xml:space="preserve">. </w:t>
      </w:r>
    </w:p>
    <w:p w14:paraId="07A6E71B" w14:textId="77777777" w:rsidR="00E01709" w:rsidRDefault="00E01709" w:rsidP="006422D0">
      <w:pPr>
        <w:pStyle w:val="Lijstalinea"/>
        <w:jc w:val="both"/>
      </w:pPr>
    </w:p>
    <w:p w14:paraId="4D37082C" w14:textId="5B541008" w:rsidR="00D03733" w:rsidRDefault="00D03733" w:rsidP="006422D0">
      <w:pPr>
        <w:pStyle w:val="Lijstalinea"/>
        <w:numPr>
          <w:ilvl w:val="0"/>
          <w:numId w:val="18"/>
        </w:numPr>
        <w:jc w:val="both"/>
      </w:pPr>
      <w:r>
        <w:t xml:space="preserve">De behandeling en steuntoekenning </w:t>
      </w:r>
      <w:r w:rsidR="00895F6D">
        <w:t xml:space="preserve">zijn </w:t>
      </w:r>
      <w:r>
        <w:t>dus zeer soortgelijk zoals bij de behandeling en steuntoekenning aan de O&amp;O&amp;I</w:t>
      </w:r>
      <w:r w:rsidR="00895F6D">
        <w:t>-</w:t>
      </w:r>
      <w:r>
        <w:t xml:space="preserve">component binnen een IPCEI-notificatie met als voornaamste verschil dat er geen aparte notificatie is en het project valt onder het SA-nummer van het betreffende Vlaamse besluit. Beperkingen uit de algemene groepsvrijstellingsverordening op de omvang van het project zijn hier dus wel degelijk van toepassing. </w:t>
      </w:r>
    </w:p>
    <w:p w14:paraId="46EFBF9D" w14:textId="77777777" w:rsidR="00895F6D" w:rsidRDefault="00895F6D" w:rsidP="006422D0">
      <w:pPr>
        <w:pStyle w:val="Lijstalinea"/>
        <w:jc w:val="both"/>
      </w:pPr>
    </w:p>
    <w:p w14:paraId="30764AA2" w14:textId="17D17409" w:rsidR="00895F6D" w:rsidRDefault="00D03733" w:rsidP="006422D0">
      <w:pPr>
        <w:pStyle w:val="Lijstalinea"/>
        <w:numPr>
          <w:ilvl w:val="0"/>
          <w:numId w:val="18"/>
        </w:numPr>
        <w:jc w:val="both"/>
      </w:pPr>
      <w:r>
        <w:t>Voor de uitvoering zijn al de bepalingen van het Vlaams besluit van toepassing</w:t>
      </w:r>
      <w:r w:rsidR="00895F6D">
        <w:t>. Net zoals bi</w:t>
      </w:r>
      <w:r w:rsidR="00C94D87">
        <w:t>j</w:t>
      </w:r>
      <w:r w:rsidR="00895F6D">
        <w:t xml:space="preserve"> de behandeling onder IPCEI notificatie zijn operationel</w:t>
      </w:r>
      <w:r w:rsidR="00C94D87">
        <w:t>e</w:t>
      </w:r>
      <w:r w:rsidR="00895F6D">
        <w:t xml:space="preserve"> bepalingen zoals de grens van maximaal 3 miljoen euro per project en maximaal 3 jaar per project niet van toepassing. </w:t>
      </w:r>
    </w:p>
    <w:p w14:paraId="045AF504" w14:textId="0ABAA29C" w:rsidR="00895F6D" w:rsidRDefault="00C94D87" w:rsidP="00C94D87">
      <w:pPr>
        <w:pStyle w:val="Kop2"/>
        <w:ind w:left="360"/>
      </w:pPr>
      <w:r>
        <w:t>FID en EET component</w:t>
      </w:r>
    </w:p>
    <w:p w14:paraId="0EED8FA4" w14:textId="43AF5AFE" w:rsidR="00FC4C76" w:rsidRPr="005E589E" w:rsidRDefault="00111539" w:rsidP="00594B2E">
      <w:pPr>
        <w:pStyle w:val="Lijstalinea"/>
        <w:numPr>
          <w:ilvl w:val="0"/>
          <w:numId w:val="19"/>
        </w:numPr>
        <w:rPr>
          <w:rFonts w:cstheme="minorHAnsi"/>
        </w:rPr>
      </w:pPr>
      <w:r>
        <w:rPr>
          <w:rFonts w:cstheme="minorHAnsi"/>
        </w:rPr>
        <w:t xml:space="preserve">In de </w:t>
      </w:r>
      <w:r w:rsidR="00C94D87" w:rsidRPr="005E589E">
        <w:rPr>
          <w:rFonts w:cstheme="minorHAnsi"/>
        </w:rPr>
        <w:t>CEE</w:t>
      </w:r>
      <w:r>
        <w:rPr>
          <w:rFonts w:cstheme="minorHAnsi"/>
        </w:rPr>
        <w:t>A</w:t>
      </w:r>
      <w:r w:rsidR="00C94D87" w:rsidRPr="005E589E">
        <w:rPr>
          <w:rFonts w:cstheme="minorHAnsi"/>
        </w:rPr>
        <w:t xml:space="preserve">G richtlijnen </w:t>
      </w:r>
      <w:r>
        <w:rPr>
          <w:rFonts w:cstheme="minorHAnsi"/>
        </w:rPr>
        <w:t xml:space="preserve">bestaan de </w:t>
      </w:r>
      <w:r w:rsidR="00C94D87" w:rsidRPr="005E589E">
        <w:rPr>
          <w:rFonts w:cstheme="minorHAnsi"/>
        </w:rPr>
        <w:t>begrippen FID en EET niet, maar</w:t>
      </w:r>
      <w:r w:rsidR="00E01709" w:rsidRPr="005E589E">
        <w:rPr>
          <w:rFonts w:cstheme="minorHAnsi"/>
        </w:rPr>
        <w:t xml:space="preserve"> </w:t>
      </w:r>
      <w:r w:rsidR="00C94D87" w:rsidRPr="005E589E">
        <w:rPr>
          <w:rFonts w:cstheme="minorHAnsi"/>
        </w:rPr>
        <w:t xml:space="preserve">de activiteiten in FID en EET zijn aanvaardbaar voor notificatie onder CEEAG. </w:t>
      </w:r>
      <w:r w:rsidR="00E01709" w:rsidRPr="005E589E">
        <w:rPr>
          <w:rFonts w:cstheme="minorHAnsi"/>
        </w:rPr>
        <w:t xml:space="preserve">De modaliteiten zoals vastgelegd voor FID en EET worden dus gevolgd. </w:t>
      </w:r>
    </w:p>
    <w:p w14:paraId="4A3C53C7" w14:textId="77777777" w:rsidR="00FC4C76" w:rsidRPr="005E589E" w:rsidRDefault="00FC4C76" w:rsidP="00FC4C76">
      <w:pPr>
        <w:pStyle w:val="Lijstalinea"/>
        <w:rPr>
          <w:rFonts w:cstheme="minorHAnsi"/>
        </w:rPr>
      </w:pPr>
    </w:p>
    <w:p w14:paraId="66467779" w14:textId="04132A20" w:rsidR="00E01709" w:rsidRPr="005E589E" w:rsidRDefault="00FC4C76" w:rsidP="008779A7">
      <w:pPr>
        <w:pStyle w:val="Lijstalinea"/>
        <w:numPr>
          <w:ilvl w:val="0"/>
          <w:numId w:val="19"/>
        </w:numPr>
        <w:jc w:val="both"/>
        <w:rPr>
          <w:rFonts w:cstheme="minorHAnsi"/>
        </w:rPr>
      </w:pPr>
      <w:r w:rsidRPr="005E589E">
        <w:rPr>
          <w:rFonts w:cstheme="minorHAnsi"/>
          <w:color w:val="000000" w:themeColor="text1"/>
          <w:shd w:val="clear" w:color="auto" w:fill="FFFFFF"/>
        </w:rPr>
        <w:t>In CEAAG kunnen enkel de kosten aanvaard worden die vereist zijn om verder te gaan dan de best beschikbare technologie en vereist zijn om een milieuwinst te realiseren die verder gaat dan de unienorm. Dit is vergelijkbaar met de werkwijze voor EET in IPCEI</w:t>
      </w:r>
      <w:r w:rsidR="00CF363D">
        <w:rPr>
          <w:rFonts w:cstheme="minorHAnsi"/>
          <w:color w:val="000000" w:themeColor="text1"/>
          <w:shd w:val="clear" w:color="auto" w:fill="FFFFFF"/>
        </w:rPr>
        <w:t xml:space="preserve">. </w:t>
      </w:r>
      <w:r w:rsidRPr="005E589E">
        <w:rPr>
          <w:rFonts w:cstheme="minorHAnsi"/>
          <w:color w:val="000000" w:themeColor="text1"/>
          <w:shd w:val="clear" w:color="auto" w:fill="FFFFFF"/>
        </w:rPr>
        <w:t>Bijgevolg wordt de werkwijze zoals toegepast in EET gevolgd, wat neerkomt op de werkwijze toegepast</w:t>
      </w:r>
      <w:r w:rsidR="00E01709" w:rsidRPr="005E589E">
        <w:rPr>
          <w:rFonts w:cstheme="minorHAnsi"/>
        </w:rPr>
        <w:t xml:space="preserve"> in het VLAIO-programma STRES (Strategische ecologiesteun)</w:t>
      </w:r>
      <w:r w:rsidR="00E01709" w:rsidRPr="005E589E">
        <w:rPr>
          <w:rFonts w:cstheme="minorHAnsi"/>
          <w:vertAlign w:val="superscript"/>
        </w:rPr>
        <w:footnoteReference w:id="3"/>
      </w:r>
      <w:r w:rsidR="00E01709" w:rsidRPr="005E589E">
        <w:rPr>
          <w:rFonts w:cstheme="minorHAnsi"/>
        </w:rPr>
        <w:t>. Daarom wordt voor de behandeling van de projecten maximaal de werkwijze gevolgd van het STRES-programma</w:t>
      </w:r>
      <w:r w:rsidR="00CF363D">
        <w:rPr>
          <w:rFonts w:cstheme="minorHAnsi"/>
        </w:rPr>
        <w:t xml:space="preserve"> waarbij </w:t>
      </w:r>
      <w:r w:rsidR="00E01709" w:rsidRPr="005E589E">
        <w:rPr>
          <w:rFonts w:cstheme="minorHAnsi"/>
        </w:rPr>
        <w:t>uitgegaan van de modaliteiten zoals voorzien voor projecten van strategisch belang (</w:t>
      </w:r>
      <w:proofErr w:type="spellStart"/>
      <w:r w:rsidR="00E01709" w:rsidRPr="005E589E">
        <w:rPr>
          <w:rFonts w:cstheme="minorHAnsi"/>
        </w:rPr>
        <w:t>superstrategisch</w:t>
      </w:r>
      <w:proofErr w:type="spellEnd"/>
      <w:r w:rsidR="00E01709" w:rsidRPr="005E589E">
        <w:rPr>
          <w:rFonts w:cstheme="minorHAnsi"/>
        </w:rPr>
        <w:t xml:space="preserve">). </w:t>
      </w:r>
    </w:p>
    <w:p w14:paraId="0280CFC1" w14:textId="77777777" w:rsidR="00FC4C76" w:rsidRPr="005E589E" w:rsidRDefault="00FC4C76" w:rsidP="005E589E">
      <w:pPr>
        <w:pStyle w:val="Lijstalinea"/>
        <w:jc w:val="both"/>
        <w:rPr>
          <w:rFonts w:cstheme="minorHAnsi"/>
        </w:rPr>
      </w:pPr>
    </w:p>
    <w:p w14:paraId="17562C47" w14:textId="08F6DC4A" w:rsidR="005E589E" w:rsidRPr="005E589E" w:rsidRDefault="005E589E" w:rsidP="008D672F">
      <w:pPr>
        <w:pStyle w:val="Lijstalinea"/>
        <w:numPr>
          <w:ilvl w:val="0"/>
          <w:numId w:val="19"/>
        </w:numPr>
        <w:jc w:val="both"/>
        <w:rPr>
          <w:rFonts w:cstheme="minorHAnsi"/>
        </w:rPr>
      </w:pPr>
      <w:r w:rsidRPr="005E589E">
        <w:rPr>
          <w:rFonts w:cstheme="minorHAnsi"/>
        </w:rPr>
        <w:t>Waar bij EET enkel infrastructuur (CAPEX) gesteund wordt zullen CEAAG</w:t>
      </w:r>
      <w:r w:rsidR="00CF363D">
        <w:rPr>
          <w:rFonts w:cstheme="minorHAnsi"/>
        </w:rPr>
        <w:t>-</w:t>
      </w:r>
      <w:r w:rsidRPr="005E589E">
        <w:rPr>
          <w:rFonts w:cstheme="minorHAnsi"/>
        </w:rPr>
        <w:t xml:space="preserve">projecten ook OPEX omvatten. Dit wordt op dezelfde manier benaderd als OPEX in FID zoals beschreven in het proces voor </w:t>
      </w:r>
      <w:r w:rsidR="00CF363D">
        <w:rPr>
          <w:rFonts w:cstheme="minorHAnsi"/>
        </w:rPr>
        <w:t xml:space="preserve">projecten met </w:t>
      </w:r>
      <w:r w:rsidRPr="005E589E">
        <w:rPr>
          <w:rFonts w:cstheme="minorHAnsi"/>
        </w:rPr>
        <w:t>IPCEI</w:t>
      </w:r>
      <w:r w:rsidR="00CF363D">
        <w:rPr>
          <w:rFonts w:cstheme="minorHAnsi"/>
        </w:rPr>
        <w:t>-notificatie</w:t>
      </w:r>
      <w:r w:rsidRPr="005E589E">
        <w:rPr>
          <w:rFonts w:cstheme="minorHAnsi"/>
        </w:rPr>
        <w:t xml:space="preserve">, maar de totaliteit van OPEX+CAPEX moet voldoen aan het gegeven dat enkel </w:t>
      </w:r>
      <w:r w:rsidRPr="005E589E">
        <w:rPr>
          <w:rFonts w:cstheme="minorHAnsi"/>
          <w:color w:val="000000" w:themeColor="text1"/>
          <w:shd w:val="clear" w:color="auto" w:fill="FFFFFF"/>
        </w:rPr>
        <w:t>kosten aanvaard worden die vereist zijn om verder te gaan dan de best beschikbare technologie en vereist zijn om een milieuwinst te realiseren die verder gaat dan de unienorm.</w:t>
      </w:r>
    </w:p>
    <w:p w14:paraId="213329F8" w14:textId="77777777" w:rsidR="005E589E" w:rsidRDefault="005E589E" w:rsidP="005E589E">
      <w:pPr>
        <w:pStyle w:val="Lijstalinea"/>
        <w:jc w:val="both"/>
        <w:rPr>
          <w:rFonts w:cstheme="minorHAnsi"/>
        </w:rPr>
      </w:pPr>
    </w:p>
    <w:p w14:paraId="577E186E" w14:textId="20E1072D" w:rsidR="00C57FD5" w:rsidRDefault="005E589E" w:rsidP="00CF363D">
      <w:pPr>
        <w:pStyle w:val="Kop1"/>
        <w:numPr>
          <w:ilvl w:val="0"/>
          <w:numId w:val="16"/>
        </w:numPr>
      </w:pPr>
      <w:r>
        <w:br w:type="page"/>
      </w:r>
      <w:r w:rsidR="006335D8">
        <w:t>Terugval op basis van de GBER</w:t>
      </w:r>
    </w:p>
    <w:p w14:paraId="229A2576" w14:textId="7574B1C4" w:rsidR="00C276F3" w:rsidRDefault="00C276F3" w:rsidP="003B0525">
      <w:pPr>
        <w:pStyle w:val="Kop2"/>
        <w:spacing w:before="120"/>
        <w:ind w:left="357"/>
      </w:pPr>
      <w:r>
        <w:t>Algemeen</w:t>
      </w:r>
    </w:p>
    <w:p w14:paraId="630D05F3" w14:textId="5F8A57CA" w:rsidR="00C57FD5" w:rsidRDefault="00C57FD5" w:rsidP="00C276F3">
      <w:pPr>
        <w:pStyle w:val="Lijstalinea"/>
        <w:numPr>
          <w:ilvl w:val="0"/>
          <w:numId w:val="21"/>
        </w:numPr>
        <w:spacing w:after="200"/>
        <w:jc w:val="both"/>
        <w:rPr>
          <w:rFonts w:cstheme="minorHAnsi"/>
        </w:rPr>
      </w:pPr>
      <w:r w:rsidRPr="00C57FD5">
        <w:rPr>
          <w:rFonts w:cstheme="minorHAnsi"/>
        </w:rPr>
        <w:t>Omdat de vertraging in het notificatieproces voor een aantal bedrijven riskeerde g</w:t>
      </w:r>
      <w:r>
        <w:rPr>
          <w:rFonts w:cstheme="minorHAnsi"/>
        </w:rPr>
        <w:t>rote problemen te geven</w:t>
      </w:r>
      <w:r w:rsidRPr="00C57FD5">
        <w:rPr>
          <w:rFonts w:cstheme="minorHAnsi"/>
        </w:rPr>
        <w:t>, w</w:t>
      </w:r>
      <w:r>
        <w:rPr>
          <w:rFonts w:cstheme="minorHAnsi"/>
        </w:rPr>
        <w:t>e</w:t>
      </w:r>
      <w:r w:rsidRPr="00C57FD5">
        <w:rPr>
          <w:rFonts w:cstheme="minorHAnsi"/>
        </w:rPr>
        <w:t>rd de mogelijkheid geboden voor een terugval met steun onder de bestaande staatssteunregels binnen de algemene groepsvrijstellingsverordening</w:t>
      </w:r>
      <w:r w:rsidR="003B0525">
        <w:rPr>
          <w:rFonts w:cstheme="minorHAnsi"/>
        </w:rPr>
        <w:t xml:space="preserve"> (GBER)</w:t>
      </w:r>
      <w:r w:rsidRPr="00C57FD5">
        <w:rPr>
          <w:rFonts w:cstheme="minorHAnsi"/>
        </w:rPr>
        <w:t xml:space="preserve">, uiteraard met inachtneming van al de gangbare regels en beperkingen van die kaders. Ook zijn er projecten die </w:t>
      </w:r>
      <w:r w:rsidR="003B0525">
        <w:rPr>
          <w:rFonts w:cstheme="minorHAnsi"/>
        </w:rPr>
        <w:t xml:space="preserve">door de Commissie </w:t>
      </w:r>
      <w:r w:rsidRPr="00C57FD5">
        <w:rPr>
          <w:rFonts w:cstheme="minorHAnsi"/>
        </w:rPr>
        <w:t xml:space="preserve">verschoven werden naar het </w:t>
      </w:r>
      <w:r w:rsidR="003B0525">
        <w:rPr>
          <w:rFonts w:cstheme="minorHAnsi"/>
        </w:rPr>
        <w:t>GBER-</w:t>
      </w:r>
      <w:r w:rsidRPr="00C57FD5">
        <w:rPr>
          <w:rFonts w:cstheme="minorHAnsi"/>
        </w:rPr>
        <w:t>kader</w:t>
      </w:r>
      <w:r w:rsidR="003B0525">
        <w:rPr>
          <w:rFonts w:cstheme="minorHAnsi"/>
        </w:rPr>
        <w:t>.</w:t>
      </w:r>
    </w:p>
    <w:p w14:paraId="03C923CF" w14:textId="566F718C" w:rsidR="00C57FD5" w:rsidRDefault="00C57FD5" w:rsidP="00C57FD5">
      <w:pPr>
        <w:pStyle w:val="Lijstalinea"/>
        <w:spacing w:after="200"/>
        <w:ind w:left="0"/>
        <w:jc w:val="both"/>
        <w:rPr>
          <w:rFonts w:cstheme="minorHAnsi"/>
        </w:rPr>
      </w:pPr>
    </w:p>
    <w:p w14:paraId="3ADA380F" w14:textId="73DD0104" w:rsidR="00546540" w:rsidRDefault="00C57FD5" w:rsidP="00C276F3">
      <w:pPr>
        <w:pStyle w:val="Lijstalinea"/>
        <w:numPr>
          <w:ilvl w:val="0"/>
          <w:numId w:val="21"/>
        </w:numPr>
        <w:spacing w:after="200"/>
        <w:jc w:val="both"/>
        <w:rPr>
          <w:rFonts w:cstheme="minorHAnsi"/>
        </w:rPr>
      </w:pPr>
      <w:r>
        <w:rPr>
          <w:rFonts w:cstheme="minorHAnsi"/>
        </w:rPr>
        <w:t>Projecten FID kunnen uiteraard niet gesteund worden onder de b</w:t>
      </w:r>
      <w:r w:rsidR="00546540">
        <w:rPr>
          <w:rFonts w:cstheme="minorHAnsi"/>
        </w:rPr>
        <w:t>e</w:t>
      </w:r>
      <w:r>
        <w:rPr>
          <w:rFonts w:cstheme="minorHAnsi"/>
        </w:rPr>
        <w:t>staande staat</w:t>
      </w:r>
      <w:r w:rsidR="00546540">
        <w:rPr>
          <w:rFonts w:cstheme="minorHAnsi"/>
        </w:rPr>
        <w:t>s</w:t>
      </w:r>
      <w:r>
        <w:rPr>
          <w:rFonts w:cstheme="minorHAnsi"/>
        </w:rPr>
        <w:t xml:space="preserve">steunkaders, maar </w:t>
      </w:r>
      <w:r w:rsidR="00546540">
        <w:rPr>
          <w:rFonts w:cstheme="minorHAnsi"/>
        </w:rPr>
        <w:t>voor een aantal projecten ingediend als FID</w:t>
      </w:r>
      <w:r w:rsidR="00C276F3">
        <w:rPr>
          <w:rFonts w:cstheme="minorHAnsi"/>
        </w:rPr>
        <w:t>-</w:t>
      </w:r>
      <w:r w:rsidR="00546540">
        <w:rPr>
          <w:rFonts w:cstheme="minorHAnsi"/>
        </w:rPr>
        <w:t xml:space="preserve">projecten </w:t>
      </w:r>
      <w:r w:rsidR="006422D0">
        <w:rPr>
          <w:rFonts w:cstheme="minorHAnsi"/>
        </w:rPr>
        <w:t xml:space="preserve">is </w:t>
      </w:r>
      <w:r w:rsidR="00546540">
        <w:rPr>
          <w:rFonts w:cstheme="minorHAnsi"/>
        </w:rPr>
        <w:t xml:space="preserve">het mogelijk om mits herwerking deelcomponenten in te dienen voor steun via de bestaande kaders. </w:t>
      </w:r>
      <w:r w:rsidR="006335D8">
        <w:rPr>
          <w:rFonts w:cstheme="minorHAnsi"/>
        </w:rPr>
        <w:t>Hierbij is het de bedoeling om maximale invulling te geven aan de kaders die Vlaanderen tot zijn beschikking heeft om  aan projecten ingediend als FID of EET die niet kunnen doorgaan via een IPCEI-notificatie door overmacht (beslissing Commissie of vertraging in de notificatie)</w:t>
      </w:r>
      <w:r w:rsidR="00CF363D">
        <w:rPr>
          <w:rFonts w:cstheme="minorHAnsi"/>
        </w:rPr>
        <w:t>,</w:t>
      </w:r>
      <w:r w:rsidR="006335D8">
        <w:rPr>
          <w:rFonts w:cstheme="minorHAnsi"/>
        </w:rPr>
        <w:t xml:space="preserve"> toch de mogelijkheid voor </w:t>
      </w:r>
      <w:r w:rsidR="00E8131F">
        <w:rPr>
          <w:rFonts w:cstheme="minorHAnsi"/>
        </w:rPr>
        <w:t xml:space="preserve">steun </w:t>
      </w:r>
      <w:r w:rsidR="006335D8">
        <w:rPr>
          <w:rFonts w:cstheme="minorHAnsi"/>
        </w:rPr>
        <w:t>te bieden.</w:t>
      </w:r>
      <w:r w:rsidR="003B0525">
        <w:rPr>
          <w:rFonts w:cstheme="minorHAnsi"/>
        </w:rPr>
        <w:t xml:space="preserve"> Zo’n terugvaloptie wordt enkel geboden aan projecten </w:t>
      </w:r>
      <w:r w:rsidR="003B0525" w:rsidRPr="00EC7E92">
        <w:t xml:space="preserve">die deelgenomen hebben aan </w:t>
      </w:r>
      <w:r w:rsidR="003B0525">
        <w:t xml:space="preserve">de oproep voor </w:t>
      </w:r>
      <w:proofErr w:type="spellStart"/>
      <w:r w:rsidR="003B0525" w:rsidRPr="00EC7E92">
        <w:t>expression</w:t>
      </w:r>
      <w:r w:rsidR="003B0525">
        <w:t>s</w:t>
      </w:r>
      <w:proofErr w:type="spellEnd"/>
      <w:r w:rsidR="003B0525" w:rsidRPr="00EC7E92">
        <w:t xml:space="preserve"> of interest en </w:t>
      </w:r>
      <w:proofErr w:type="spellStart"/>
      <w:r w:rsidR="003B0525" w:rsidRPr="00EC7E92">
        <w:t>gepreselecteerd</w:t>
      </w:r>
      <w:proofErr w:type="spellEnd"/>
      <w:r w:rsidR="003B0525" w:rsidRPr="00EC7E92">
        <w:t xml:space="preserve"> werden op nationaal (regionaal) niveau voor integratie in een IPCEI.</w:t>
      </w:r>
      <w:r w:rsidR="003B0525">
        <w:rPr>
          <w:rFonts w:cstheme="minorHAnsi"/>
        </w:rPr>
        <w:t xml:space="preserve"> </w:t>
      </w:r>
    </w:p>
    <w:p w14:paraId="13C2F89B" w14:textId="63965280" w:rsidR="006335D8" w:rsidRDefault="006335D8" w:rsidP="00C276F3">
      <w:pPr>
        <w:pStyle w:val="Kop2"/>
        <w:ind w:left="360"/>
        <w:rPr>
          <w:rStyle w:val="Hyperlink"/>
          <w:rFonts w:cstheme="minorHAnsi"/>
          <w:color w:val="000000" w:themeColor="text1"/>
          <w:u w:val="none"/>
          <w:bdr w:val="none" w:sz="0" w:space="0" w:color="auto" w:frame="1"/>
          <w:shd w:val="clear" w:color="auto" w:fill="FFFFFF" w:themeFill="background1"/>
        </w:rPr>
      </w:pPr>
      <w:r w:rsidRPr="00C276F3">
        <w:rPr>
          <w:rStyle w:val="Hyperlink"/>
          <w:color w:val="2E74B5" w:themeColor="accent1" w:themeShade="BF"/>
          <w:u w:val="none"/>
        </w:rPr>
        <w:t>Terugval naar steun voor O&amp;O&amp;I</w:t>
      </w:r>
    </w:p>
    <w:p w14:paraId="603F9DFF" w14:textId="150B43BB" w:rsidR="00A650E7" w:rsidRDefault="006335D8" w:rsidP="00C276F3">
      <w:pPr>
        <w:pStyle w:val="Lijstalinea"/>
        <w:numPr>
          <w:ilvl w:val="0"/>
          <w:numId w:val="22"/>
        </w:numPr>
        <w:spacing w:after="200"/>
        <w:jc w:val="both"/>
        <w:rPr>
          <w:rFonts w:cstheme="minorHAnsi"/>
        </w:rPr>
      </w:pPr>
      <w:r>
        <w:rPr>
          <w:rFonts w:cstheme="minorHAnsi"/>
        </w:rPr>
        <w:t>Bij projecten ingediend als FID waarbij geopteerd werd voor een terugval naar steun aan O&amp;O&amp;I-activiteiten volgens artikel 25 van de GBER werd de aanvraag herwerk</w:t>
      </w:r>
      <w:r w:rsidR="00CF363D">
        <w:rPr>
          <w:rFonts w:cstheme="minorHAnsi"/>
        </w:rPr>
        <w:t xml:space="preserve">t in overeenstemming met </w:t>
      </w:r>
      <w:r w:rsidR="00B911B3">
        <w:rPr>
          <w:rFonts w:cstheme="minorHAnsi"/>
        </w:rPr>
        <w:t>het proces voor</w:t>
      </w:r>
      <w:r w:rsidR="00CF363D">
        <w:rPr>
          <w:rFonts w:cstheme="minorHAnsi"/>
        </w:rPr>
        <w:t xml:space="preserve"> </w:t>
      </w:r>
      <w:r>
        <w:rPr>
          <w:rFonts w:cstheme="minorHAnsi"/>
        </w:rPr>
        <w:t>O&amp;O&amp;I-</w:t>
      </w:r>
      <w:r w:rsidR="00CF363D">
        <w:rPr>
          <w:rFonts w:cstheme="minorHAnsi"/>
        </w:rPr>
        <w:t>aanvragen</w:t>
      </w:r>
      <w:r w:rsidR="00B911B3">
        <w:rPr>
          <w:rFonts w:cstheme="minorHAnsi"/>
        </w:rPr>
        <w:t xml:space="preserve"> bij VLAIO</w:t>
      </w:r>
      <w:r>
        <w:rPr>
          <w:rFonts w:cstheme="minorHAnsi"/>
        </w:rPr>
        <w:t xml:space="preserve">. Omdat Vlaanderen beschikt over besluiten voor steun aan O&amp;O&amp;I waarbij de beslissing gedelegeerd wordt naar het </w:t>
      </w:r>
      <w:r w:rsidR="006422D0">
        <w:rPr>
          <w:rFonts w:cstheme="minorHAnsi"/>
        </w:rPr>
        <w:t>B</w:t>
      </w:r>
      <w:r>
        <w:rPr>
          <w:rFonts w:cstheme="minorHAnsi"/>
        </w:rPr>
        <w:t>eslissingscomité bij het Fonds Innoveren en Ondernemen</w:t>
      </w:r>
      <w:r w:rsidR="00B911B3">
        <w:rPr>
          <w:rStyle w:val="Voetnootmarkering"/>
          <w:rFonts w:cstheme="minorHAnsi"/>
        </w:rPr>
        <w:footnoteReference w:id="4"/>
      </w:r>
      <w:r>
        <w:rPr>
          <w:rFonts w:cstheme="minorHAnsi"/>
        </w:rPr>
        <w:t xml:space="preserve"> werd voor consistentie in behandeling niet geopteerd voor ad hoc steun door de Vlaamse regering maar voor een beslissing door het Beslissingscomité </w:t>
      </w:r>
      <w:r w:rsidR="00C276F3">
        <w:rPr>
          <w:rFonts w:cstheme="minorHAnsi"/>
        </w:rPr>
        <w:t xml:space="preserve">bij het Fonds Innoveren en </w:t>
      </w:r>
      <w:r w:rsidR="006422D0">
        <w:rPr>
          <w:rFonts w:cstheme="minorHAnsi"/>
        </w:rPr>
        <w:t>O</w:t>
      </w:r>
      <w:r w:rsidR="00C276F3">
        <w:rPr>
          <w:rFonts w:cstheme="minorHAnsi"/>
        </w:rPr>
        <w:t xml:space="preserve">ndernemen </w:t>
      </w:r>
      <w:r>
        <w:rPr>
          <w:rFonts w:cstheme="minorHAnsi"/>
        </w:rPr>
        <w:t xml:space="preserve">op basis van de </w:t>
      </w:r>
      <w:r w:rsidR="00C276F3">
        <w:rPr>
          <w:rFonts w:cstheme="minorHAnsi"/>
        </w:rPr>
        <w:t xml:space="preserve">toepasselijke </w:t>
      </w:r>
      <w:r>
        <w:rPr>
          <w:rFonts w:cstheme="minorHAnsi"/>
        </w:rPr>
        <w:t>Vlaamse besluiten. De beslissing gebeurt volledig volgens de bepalingen van de toepasselijke besluiten. Zoals bij de O&amp;O&amp;I</w:t>
      </w:r>
      <w:r w:rsidR="00C276F3">
        <w:rPr>
          <w:rFonts w:cstheme="minorHAnsi"/>
        </w:rPr>
        <w:t>-</w:t>
      </w:r>
      <w:r>
        <w:rPr>
          <w:rFonts w:cstheme="minorHAnsi"/>
        </w:rPr>
        <w:t>component van de IPCEI</w:t>
      </w:r>
      <w:r w:rsidR="00C276F3">
        <w:rPr>
          <w:rFonts w:cstheme="minorHAnsi"/>
        </w:rPr>
        <w:t>-</w:t>
      </w:r>
      <w:r>
        <w:rPr>
          <w:rFonts w:cstheme="minorHAnsi"/>
        </w:rPr>
        <w:t xml:space="preserve">projecten </w:t>
      </w:r>
      <w:r w:rsidR="006422D0">
        <w:rPr>
          <w:rFonts w:cstheme="minorHAnsi"/>
        </w:rPr>
        <w:t xml:space="preserve">kan uitzondering geboden worden op operationele </w:t>
      </w:r>
      <w:r w:rsidR="007D203E">
        <w:rPr>
          <w:rFonts w:cstheme="minorHAnsi"/>
        </w:rPr>
        <w:t xml:space="preserve">bepalingen zoals </w:t>
      </w:r>
      <w:r w:rsidR="00B911B3">
        <w:rPr>
          <w:rFonts w:cstheme="minorHAnsi"/>
        </w:rPr>
        <w:t xml:space="preserve">bv. de maximale steun van </w:t>
      </w:r>
      <w:r w:rsidR="00C276F3">
        <w:t xml:space="preserve">3 miljoen euro per project </w:t>
      </w:r>
      <w:r w:rsidR="00B911B3">
        <w:t xml:space="preserve">of de maximale duur van </w:t>
      </w:r>
      <w:r w:rsidR="00C276F3">
        <w:t xml:space="preserve">3 jaar per project, maar de beslissing </w:t>
      </w:r>
      <w:r w:rsidR="006422D0">
        <w:t xml:space="preserve">blijft </w:t>
      </w:r>
      <w:r w:rsidR="00B911B3">
        <w:t>integraal</w:t>
      </w:r>
      <w:r w:rsidR="006422D0">
        <w:t xml:space="preserve"> binnen </w:t>
      </w:r>
      <w:r w:rsidR="00C276F3">
        <w:t xml:space="preserve">de bepalingen van  het toepasselijke besluit. </w:t>
      </w:r>
    </w:p>
    <w:p w14:paraId="7C31659F" w14:textId="52AD5FC3" w:rsidR="00546540" w:rsidRDefault="00546540" w:rsidP="00C276F3">
      <w:pPr>
        <w:pStyle w:val="Kop2"/>
        <w:ind w:left="360"/>
      </w:pPr>
      <w:r>
        <w:t xml:space="preserve">Terugval naar </w:t>
      </w:r>
      <w:r w:rsidR="00A650E7">
        <w:t xml:space="preserve">steun voor investeringen </w:t>
      </w:r>
    </w:p>
    <w:p w14:paraId="376FC812" w14:textId="6C3223D0" w:rsidR="00C94D87" w:rsidRPr="003B0525" w:rsidRDefault="00A650E7" w:rsidP="003B0525">
      <w:pPr>
        <w:pStyle w:val="Lijstalinea"/>
        <w:numPr>
          <w:ilvl w:val="0"/>
          <w:numId w:val="22"/>
        </w:numPr>
        <w:spacing w:after="200"/>
        <w:jc w:val="both"/>
        <w:rPr>
          <w:rFonts w:cstheme="minorHAnsi"/>
          <w:color w:val="000000" w:themeColor="text1"/>
          <w:bdr w:val="none" w:sz="0" w:space="0" w:color="auto" w:frame="1"/>
          <w:shd w:val="clear" w:color="auto" w:fill="FFFFFF" w:themeFill="background1"/>
        </w:rPr>
      </w:pPr>
      <w:r w:rsidRPr="003B0525">
        <w:rPr>
          <w:rFonts w:cstheme="minorHAnsi"/>
        </w:rPr>
        <w:t xml:space="preserve">Bij projecten </w:t>
      </w:r>
      <w:r w:rsidR="007B1AF3" w:rsidRPr="003B0525">
        <w:rPr>
          <w:rFonts w:cstheme="minorHAnsi"/>
        </w:rPr>
        <w:t xml:space="preserve">ingediend </w:t>
      </w:r>
      <w:r w:rsidRPr="003B0525">
        <w:rPr>
          <w:rFonts w:cstheme="minorHAnsi"/>
        </w:rPr>
        <w:t xml:space="preserve">als FID of EET </w:t>
      </w:r>
      <w:r w:rsidR="007B1AF3" w:rsidRPr="003B0525">
        <w:rPr>
          <w:rFonts w:cstheme="minorHAnsi"/>
        </w:rPr>
        <w:t xml:space="preserve">waarbij geopteerd werd </w:t>
      </w:r>
      <w:r w:rsidRPr="003B0525">
        <w:rPr>
          <w:rFonts w:cstheme="minorHAnsi"/>
        </w:rPr>
        <w:t xml:space="preserve">voor een terugval naar steun aan investeringen voor milieuwinst volgens artikels 36, 38 en 41 van de GBER werd de aanvraag </w:t>
      </w:r>
      <w:r w:rsidR="00B911B3">
        <w:rPr>
          <w:rFonts w:cstheme="minorHAnsi"/>
        </w:rPr>
        <w:t>herwerkt in overeenstemming met het proces voor</w:t>
      </w:r>
      <w:r w:rsidR="00B911B3" w:rsidRPr="003B0525">
        <w:rPr>
          <w:rFonts w:cstheme="minorHAnsi"/>
        </w:rPr>
        <w:t xml:space="preserve"> </w:t>
      </w:r>
      <w:r w:rsidR="00B911B3">
        <w:rPr>
          <w:rFonts w:cstheme="minorHAnsi"/>
        </w:rPr>
        <w:t xml:space="preserve">aanvragen in </w:t>
      </w:r>
      <w:r w:rsidRPr="003B0525">
        <w:rPr>
          <w:rFonts w:cstheme="minorHAnsi"/>
        </w:rPr>
        <w:t xml:space="preserve">het STRES-programma. Deze projecten werden behandeld als </w:t>
      </w:r>
      <w:proofErr w:type="spellStart"/>
      <w:r w:rsidRPr="003B0525">
        <w:rPr>
          <w:rFonts w:cstheme="minorHAnsi"/>
        </w:rPr>
        <w:t>superstrategisch</w:t>
      </w:r>
      <w:proofErr w:type="spellEnd"/>
      <w:r w:rsidRPr="003B0525">
        <w:rPr>
          <w:rFonts w:cstheme="minorHAnsi"/>
        </w:rPr>
        <w:t xml:space="preserve"> in STRES met een beslissing door de Vlaamse regering. De modaliteiten en werkwijze van behandeling is identiek aan behandeling van </w:t>
      </w:r>
      <w:proofErr w:type="spellStart"/>
      <w:r w:rsidRPr="003B0525">
        <w:rPr>
          <w:rFonts w:cstheme="minorHAnsi"/>
        </w:rPr>
        <w:t>superstrategische</w:t>
      </w:r>
      <w:proofErr w:type="spellEnd"/>
      <w:r w:rsidRPr="003B0525">
        <w:rPr>
          <w:rFonts w:cstheme="minorHAnsi"/>
        </w:rPr>
        <w:t xml:space="preserve"> projecten volgens </w:t>
      </w:r>
      <w:r w:rsidR="007D203E">
        <w:rPr>
          <w:rFonts w:cstheme="minorHAnsi"/>
        </w:rPr>
        <w:t xml:space="preserve">de bepalingen van </w:t>
      </w:r>
      <w:r w:rsidRPr="003B0525">
        <w:rPr>
          <w:rFonts w:cstheme="minorHAnsi"/>
        </w:rPr>
        <w:t xml:space="preserve">het besluit </w:t>
      </w:r>
      <w:hyperlink r:id="rId8" w:tgtFrame="_blank" w:history="1">
        <w:r w:rsidR="007B1AF3" w:rsidRPr="003B0525">
          <w:rPr>
            <w:rStyle w:val="Hyperlink"/>
            <w:rFonts w:cstheme="minorHAnsi"/>
            <w:color w:val="000000" w:themeColor="text1"/>
            <w:u w:val="none"/>
            <w:bdr w:val="none" w:sz="0" w:space="0" w:color="auto" w:frame="1"/>
            <w:shd w:val="clear" w:color="auto" w:fill="FFFFFF" w:themeFill="background1"/>
          </w:rPr>
          <w:t xml:space="preserve"> van de Vlaamse Regering van 16 november 2012 tot toekenning van steun aan ondernemingen voor strategische ecologie-investeringen in het Vlaamse Gewest.</w:t>
        </w:r>
      </w:hyperlink>
    </w:p>
    <w:sectPr w:rsidR="00C94D87" w:rsidRPr="003B05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238C" w14:textId="77777777" w:rsidR="00FA6C99" w:rsidRDefault="00FA6C99" w:rsidP="004B1154">
      <w:pPr>
        <w:spacing w:after="0" w:line="240" w:lineRule="auto"/>
      </w:pPr>
      <w:r>
        <w:separator/>
      </w:r>
    </w:p>
  </w:endnote>
  <w:endnote w:type="continuationSeparator" w:id="0">
    <w:p w14:paraId="175D671F" w14:textId="77777777" w:rsidR="00FA6C99" w:rsidRDefault="00FA6C99" w:rsidP="004B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landersArtSans-Light">
    <w:panose1 w:val="000004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landersArtSerif-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291936"/>
      <w:docPartObj>
        <w:docPartGallery w:val="Page Numbers (Bottom of Page)"/>
        <w:docPartUnique/>
      </w:docPartObj>
    </w:sdtPr>
    <w:sdtEndPr/>
    <w:sdtContent>
      <w:p w14:paraId="71CAF484" w14:textId="77777777" w:rsidR="00180C48" w:rsidRDefault="00180C48">
        <w:pPr>
          <w:pStyle w:val="Voettekst"/>
          <w:jc w:val="right"/>
        </w:pPr>
        <w:r>
          <w:fldChar w:fldCharType="begin"/>
        </w:r>
        <w:r>
          <w:instrText>PAGE   \* MERGEFORMAT</w:instrText>
        </w:r>
        <w:r>
          <w:fldChar w:fldCharType="separate"/>
        </w:r>
        <w:r>
          <w:rPr>
            <w:lang w:val="nl-NL"/>
          </w:rPr>
          <w:t>2</w:t>
        </w:r>
        <w:r>
          <w:fldChar w:fldCharType="end"/>
        </w:r>
      </w:p>
    </w:sdtContent>
  </w:sdt>
  <w:p w14:paraId="1213622F" w14:textId="77777777" w:rsidR="00180C48" w:rsidRDefault="00180C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16FB" w14:textId="77777777" w:rsidR="00FA6C99" w:rsidRDefault="00FA6C99" w:rsidP="004B1154">
      <w:pPr>
        <w:spacing w:after="0" w:line="240" w:lineRule="auto"/>
      </w:pPr>
      <w:r>
        <w:separator/>
      </w:r>
    </w:p>
  </w:footnote>
  <w:footnote w:type="continuationSeparator" w:id="0">
    <w:p w14:paraId="1A568CF5" w14:textId="77777777" w:rsidR="00FA6C99" w:rsidRDefault="00FA6C99" w:rsidP="004B1154">
      <w:pPr>
        <w:spacing w:after="0" w:line="240" w:lineRule="auto"/>
      </w:pPr>
      <w:r>
        <w:continuationSeparator/>
      </w:r>
    </w:p>
  </w:footnote>
  <w:footnote w:id="1">
    <w:p w14:paraId="4C973301" w14:textId="77777777" w:rsidR="005773AF" w:rsidRPr="00E503FF" w:rsidRDefault="005773AF" w:rsidP="005773AF">
      <w:pPr>
        <w:pStyle w:val="Voetnoottekst"/>
        <w:rPr>
          <w:rFonts w:ascii="FlandersArtSerif-Light" w:hAnsi="FlandersArtSerif-Light"/>
          <w:sz w:val="18"/>
          <w:szCs w:val="18"/>
        </w:rPr>
      </w:pPr>
      <w:r w:rsidRPr="00E503FF">
        <w:rPr>
          <w:rStyle w:val="Voetnootmarkering"/>
          <w:rFonts w:ascii="FlandersArtSerif-Light" w:hAnsi="FlandersArtSerif-Light"/>
          <w:sz w:val="18"/>
          <w:szCs w:val="18"/>
        </w:rPr>
        <w:footnoteRef/>
      </w:r>
      <w:r w:rsidRPr="00E503FF">
        <w:rPr>
          <w:rFonts w:ascii="FlandersArtSerif-Light" w:hAnsi="FlandersArtSerif-Light"/>
          <w:sz w:val="18"/>
          <w:szCs w:val="18"/>
        </w:rPr>
        <w:t xml:space="preserve"> MEDEDELING VAN DE COMMISSIE. Richtsnoeren staatssteun ten behoeve van klimaat, milieubescherming en energie 2022 (2022/C 80/01)</w:t>
      </w:r>
    </w:p>
  </w:footnote>
  <w:footnote w:id="2">
    <w:p w14:paraId="7EDA73EB" w14:textId="0A83D52B" w:rsidR="00CF363D" w:rsidRDefault="00CF363D">
      <w:pPr>
        <w:pStyle w:val="Voetnoottekst"/>
      </w:pPr>
      <w:r>
        <w:rPr>
          <w:rStyle w:val="Voetnootmarkering"/>
        </w:rPr>
        <w:footnoteRef/>
      </w:r>
      <w:r>
        <w:t xml:space="preserve"> </w:t>
      </w:r>
      <w:r w:rsidRPr="00C276F3">
        <w:rPr>
          <w:sz w:val="18"/>
          <w:szCs w:val="18"/>
        </w:rPr>
        <w:t>Besluit van de Vlaamse regering van 12 mei 2017 tot regeling van steun aan ondernemingen voor onderzoek en ontwikkeling met een kennisintensief karakter in Vlaanderen en het besluit van de Vlaamse regering van 12 mei 2017 tot regeling van steun aan ondernemingen voor ontwikkeling en innovatie in Vlaanderen</w:t>
      </w:r>
    </w:p>
  </w:footnote>
  <w:footnote w:id="3">
    <w:p w14:paraId="077C7A1D" w14:textId="77777777" w:rsidR="00E01709" w:rsidRDefault="00E01709" w:rsidP="00E01709">
      <w:pPr>
        <w:pStyle w:val="Voetnoottekst"/>
      </w:pPr>
      <w:r>
        <w:rPr>
          <w:rStyle w:val="Voetnootmarkering"/>
        </w:rPr>
        <w:footnoteRef/>
      </w:r>
      <w:r>
        <w:t xml:space="preserve"> </w:t>
      </w:r>
      <w:r w:rsidRPr="001101F1">
        <w:rPr>
          <w:sz w:val="18"/>
          <w:szCs w:val="18"/>
        </w:rPr>
        <w:t xml:space="preserve">Het STRES programma wordt geregeld door het  </w:t>
      </w:r>
      <w:hyperlink r:id="rId1" w:tgtFrame="_blank" w:history="1">
        <w:r w:rsidRPr="001101F1">
          <w:rPr>
            <w:rStyle w:val="Hyperlink"/>
            <w:rFonts w:cstheme="minorHAnsi"/>
            <w:color w:val="0066CC"/>
            <w:sz w:val="18"/>
            <w:szCs w:val="18"/>
            <w:bdr w:val="none" w:sz="0" w:space="0" w:color="auto" w:frame="1"/>
            <w:shd w:val="clear" w:color="auto" w:fill="F3F3F3"/>
          </w:rPr>
          <w:t>Besluit van de Vlaamse Regering van 16 november 2012 tot toekenning van steun aan ondernemingen voor strategische ecologie-investeringen in het Vlaamse Gewest.</w:t>
        </w:r>
      </w:hyperlink>
    </w:p>
  </w:footnote>
  <w:footnote w:id="4">
    <w:p w14:paraId="51D506CB" w14:textId="36800DF0" w:rsidR="00B911B3" w:rsidRDefault="00B911B3">
      <w:pPr>
        <w:pStyle w:val="Voetnoottekst"/>
      </w:pPr>
      <w:r>
        <w:rPr>
          <w:rStyle w:val="Voetnootmarkering"/>
        </w:rPr>
        <w:footnoteRef/>
      </w:r>
      <w:r>
        <w:t xml:space="preserve"> </w:t>
      </w:r>
      <w:r w:rsidRPr="00C276F3">
        <w:rPr>
          <w:sz w:val="18"/>
          <w:szCs w:val="18"/>
        </w:rPr>
        <w:t>Besluit van de Vlaamse regering van 12 mei 2017 tot regeling van steun aan ondernemingen voor onderzoek en ontwikkeling met een kennisintensief karakter in Vlaanderen en het besluit van de Vlaamse regering van 12 mei 2017 tot regeling van steun aan ondernemingen voor ontwikkeling en innovatie in Vlaanderen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0842" w14:textId="34ECFE03" w:rsidR="00180C48" w:rsidRPr="004B1154" w:rsidRDefault="00180C48">
    <w:pPr>
      <w:pStyle w:val="Koptekst"/>
      <w:rPr>
        <w:u w:val="single"/>
      </w:rPr>
    </w:pPr>
    <w:r w:rsidRPr="004B1154">
      <w:rPr>
        <w:u w:val="single"/>
      </w:rPr>
      <w:t>VLAIO</w:t>
    </w:r>
    <w:r w:rsidRPr="004B1154">
      <w:rPr>
        <w:u w:val="single"/>
      </w:rPr>
      <w:ptab w:relativeTo="margin" w:alignment="center" w:leader="none"/>
    </w:r>
    <w:r w:rsidR="00836310">
      <w:rPr>
        <w:u w:val="single"/>
      </w:rPr>
      <w:t>IPCEI-</w:t>
    </w:r>
    <w:r w:rsidR="00EF2628">
      <w:rPr>
        <w:u w:val="single"/>
      </w:rPr>
      <w:t>beheerssystemen</w:t>
    </w:r>
    <w:r w:rsidRPr="004B1154">
      <w:rPr>
        <w:u w:val="single"/>
      </w:rPr>
      <w:ptab w:relativeTo="margin" w:alignment="right" w:leader="none"/>
    </w:r>
    <w:r w:rsidR="00E01709">
      <w:rPr>
        <w:u w:val="single"/>
      </w:rPr>
      <w:t>11/08/2022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2CA"/>
    <w:multiLevelType w:val="hybridMultilevel"/>
    <w:tmpl w:val="35C06C6C"/>
    <w:lvl w:ilvl="0" w:tplc="3EDC0808">
      <w:start w:val="2"/>
      <w:numFmt w:val="bullet"/>
      <w:lvlText w:val="-"/>
      <w:lvlJc w:val="left"/>
      <w:pPr>
        <w:ind w:left="720" w:hanging="360"/>
      </w:pPr>
      <w:rPr>
        <w:rFonts w:ascii="FlandersArtSans-Light" w:eastAsia="Times New Roman" w:hAnsi="FlandersArtSans-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C72745"/>
    <w:multiLevelType w:val="hybridMultilevel"/>
    <w:tmpl w:val="52085DB6"/>
    <w:lvl w:ilvl="0" w:tplc="390AC126">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BF14C5F"/>
    <w:multiLevelType w:val="hybridMultilevel"/>
    <w:tmpl w:val="DDBE56A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0357255"/>
    <w:multiLevelType w:val="hybridMultilevel"/>
    <w:tmpl w:val="12D60594"/>
    <w:lvl w:ilvl="0" w:tplc="390AC12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0048EC"/>
    <w:multiLevelType w:val="hybridMultilevel"/>
    <w:tmpl w:val="A9AA4DC0"/>
    <w:lvl w:ilvl="0" w:tplc="390AC126">
      <w:start w:val="1"/>
      <w:numFmt w:val="bullet"/>
      <w:lvlText w:val="­"/>
      <w:lvlJc w:val="left"/>
      <w:pPr>
        <w:ind w:left="720" w:hanging="360"/>
      </w:pPr>
      <w:rPr>
        <w:rFonts w:ascii="Calibri" w:hAnsi="Calibri"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7275E5"/>
    <w:multiLevelType w:val="hybridMultilevel"/>
    <w:tmpl w:val="BD281C34"/>
    <w:lvl w:ilvl="0" w:tplc="390AC126">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7345BBC"/>
    <w:multiLevelType w:val="hybridMultilevel"/>
    <w:tmpl w:val="F4E8EBFA"/>
    <w:lvl w:ilvl="0" w:tplc="4024372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9964FB"/>
    <w:multiLevelType w:val="hybridMultilevel"/>
    <w:tmpl w:val="02167334"/>
    <w:lvl w:ilvl="0" w:tplc="390AC126">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0D7114B"/>
    <w:multiLevelType w:val="hybridMultilevel"/>
    <w:tmpl w:val="336ADA58"/>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3DA0DDF"/>
    <w:multiLevelType w:val="hybridMultilevel"/>
    <w:tmpl w:val="4F001E6C"/>
    <w:lvl w:ilvl="0" w:tplc="390AC12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D31FD8"/>
    <w:multiLevelType w:val="hybridMultilevel"/>
    <w:tmpl w:val="65AAAB36"/>
    <w:lvl w:ilvl="0" w:tplc="4024372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99756C"/>
    <w:multiLevelType w:val="hybridMultilevel"/>
    <w:tmpl w:val="2F46E2F2"/>
    <w:lvl w:ilvl="0" w:tplc="390AC12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D54023"/>
    <w:multiLevelType w:val="hybridMultilevel"/>
    <w:tmpl w:val="62AE297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302D6DF4"/>
    <w:multiLevelType w:val="hybridMultilevel"/>
    <w:tmpl w:val="A67A46E2"/>
    <w:lvl w:ilvl="0" w:tplc="47EA5D4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9CC7D03"/>
    <w:multiLevelType w:val="hybridMultilevel"/>
    <w:tmpl w:val="4AFE7C46"/>
    <w:lvl w:ilvl="0" w:tplc="390AC12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D0C3D52"/>
    <w:multiLevelType w:val="hybridMultilevel"/>
    <w:tmpl w:val="50903BB2"/>
    <w:lvl w:ilvl="0" w:tplc="390AC126">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F74F4B"/>
    <w:multiLevelType w:val="hybridMultilevel"/>
    <w:tmpl w:val="462A0DEA"/>
    <w:lvl w:ilvl="0" w:tplc="4024372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911675F"/>
    <w:multiLevelType w:val="hybridMultilevel"/>
    <w:tmpl w:val="026E759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8" w15:restartNumberingAfterBreak="0">
    <w:nsid w:val="57145B12"/>
    <w:multiLevelType w:val="hybridMultilevel"/>
    <w:tmpl w:val="24CE3BDC"/>
    <w:lvl w:ilvl="0" w:tplc="390AC126">
      <w:start w:val="1"/>
      <w:numFmt w:val="bullet"/>
      <w:lvlText w:val="­"/>
      <w:lvlJc w:val="left"/>
      <w:pPr>
        <w:ind w:left="720" w:hanging="360"/>
      </w:pPr>
      <w:rPr>
        <w:rFonts w:ascii="Calibri" w:hAnsi="Calibri"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E9B0D81"/>
    <w:multiLevelType w:val="multilevel"/>
    <w:tmpl w:val="790AFA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800EF6"/>
    <w:multiLevelType w:val="hybridMultilevel"/>
    <w:tmpl w:val="49D6FCFE"/>
    <w:lvl w:ilvl="0" w:tplc="390AC12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959293A"/>
    <w:multiLevelType w:val="hybridMultilevel"/>
    <w:tmpl w:val="926A5F72"/>
    <w:lvl w:ilvl="0" w:tplc="390AC126">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7"/>
  </w:num>
  <w:num w:numId="5">
    <w:abstractNumId w:val="19"/>
  </w:num>
  <w:num w:numId="6">
    <w:abstractNumId w:val="17"/>
  </w:num>
  <w:num w:numId="7">
    <w:abstractNumId w:val="11"/>
  </w:num>
  <w:num w:numId="8">
    <w:abstractNumId w:val="3"/>
  </w:num>
  <w:num w:numId="9">
    <w:abstractNumId w:val="12"/>
  </w:num>
  <w:num w:numId="10">
    <w:abstractNumId w:val="18"/>
  </w:num>
  <w:num w:numId="11">
    <w:abstractNumId w:val="8"/>
  </w:num>
  <w:num w:numId="12">
    <w:abstractNumId w:val="21"/>
  </w:num>
  <w:num w:numId="13">
    <w:abstractNumId w:val="4"/>
  </w:num>
  <w:num w:numId="14">
    <w:abstractNumId w:val="9"/>
  </w:num>
  <w:num w:numId="15">
    <w:abstractNumId w:val="20"/>
  </w:num>
  <w:num w:numId="16">
    <w:abstractNumId w:val="2"/>
  </w:num>
  <w:num w:numId="17">
    <w:abstractNumId w:val="10"/>
  </w:num>
  <w:num w:numId="18">
    <w:abstractNumId w:val="16"/>
  </w:num>
  <w:num w:numId="19">
    <w:abstractNumId w:val="6"/>
  </w:num>
  <w:num w:numId="20">
    <w:abstractNumId w:val="0"/>
  </w:num>
  <w:num w:numId="21">
    <w:abstractNumId w:val="14"/>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4"/>
    <w:rsid w:val="00000C1E"/>
    <w:rsid w:val="00000EA0"/>
    <w:rsid w:val="00002235"/>
    <w:rsid w:val="000065BD"/>
    <w:rsid w:val="00013799"/>
    <w:rsid w:val="00015B59"/>
    <w:rsid w:val="00015EF6"/>
    <w:rsid w:val="00020412"/>
    <w:rsid w:val="0002197D"/>
    <w:rsid w:val="0002205C"/>
    <w:rsid w:val="00030E6E"/>
    <w:rsid w:val="00035CBF"/>
    <w:rsid w:val="00037D39"/>
    <w:rsid w:val="0005099D"/>
    <w:rsid w:val="00054F9C"/>
    <w:rsid w:val="00056115"/>
    <w:rsid w:val="00056F6B"/>
    <w:rsid w:val="00061380"/>
    <w:rsid w:val="000640C8"/>
    <w:rsid w:val="000673AA"/>
    <w:rsid w:val="00070D3A"/>
    <w:rsid w:val="00076035"/>
    <w:rsid w:val="00076C32"/>
    <w:rsid w:val="00086CEC"/>
    <w:rsid w:val="0009537D"/>
    <w:rsid w:val="000A3ED6"/>
    <w:rsid w:val="000A6DD5"/>
    <w:rsid w:val="000B23A1"/>
    <w:rsid w:val="000B2A06"/>
    <w:rsid w:val="000B58D8"/>
    <w:rsid w:val="000C0C65"/>
    <w:rsid w:val="000C2EF4"/>
    <w:rsid w:val="000C546C"/>
    <w:rsid w:val="000C63E3"/>
    <w:rsid w:val="000D25CB"/>
    <w:rsid w:val="000D4511"/>
    <w:rsid w:val="000D5365"/>
    <w:rsid w:val="000E34A2"/>
    <w:rsid w:val="000E451C"/>
    <w:rsid w:val="000F0296"/>
    <w:rsid w:val="00102820"/>
    <w:rsid w:val="00102CE7"/>
    <w:rsid w:val="001056A7"/>
    <w:rsid w:val="00106541"/>
    <w:rsid w:val="00111539"/>
    <w:rsid w:val="00112535"/>
    <w:rsid w:val="00112A3D"/>
    <w:rsid w:val="00113562"/>
    <w:rsid w:val="001224B8"/>
    <w:rsid w:val="00122828"/>
    <w:rsid w:val="00130042"/>
    <w:rsid w:val="001303BD"/>
    <w:rsid w:val="0013169F"/>
    <w:rsid w:val="00133317"/>
    <w:rsid w:val="0013380D"/>
    <w:rsid w:val="0013509F"/>
    <w:rsid w:val="00137A0A"/>
    <w:rsid w:val="00137F9F"/>
    <w:rsid w:val="001421B0"/>
    <w:rsid w:val="00146C60"/>
    <w:rsid w:val="00153892"/>
    <w:rsid w:val="00154A6B"/>
    <w:rsid w:val="00154B67"/>
    <w:rsid w:val="0017256A"/>
    <w:rsid w:val="0017372A"/>
    <w:rsid w:val="00180C48"/>
    <w:rsid w:val="00181F7D"/>
    <w:rsid w:val="00183CDA"/>
    <w:rsid w:val="00185107"/>
    <w:rsid w:val="00186DB9"/>
    <w:rsid w:val="00186E7E"/>
    <w:rsid w:val="00192AED"/>
    <w:rsid w:val="00195361"/>
    <w:rsid w:val="0019594E"/>
    <w:rsid w:val="001A14D4"/>
    <w:rsid w:val="001A21E2"/>
    <w:rsid w:val="001A528D"/>
    <w:rsid w:val="001B1DDE"/>
    <w:rsid w:val="001B55CC"/>
    <w:rsid w:val="001B5E1C"/>
    <w:rsid w:val="001B6124"/>
    <w:rsid w:val="001B73EC"/>
    <w:rsid w:val="001C4476"/>
    <w:rsid w:val="001E343D"/>
    <w:rsid w:val="001E4547"/>
    <w:rsid w:val="001E552B"/>
    <w:rsid w:val="001F383C"/>
    <w:rsid w:val="001F743D"/>
    <w:rsid w:val="00203A90"/>
    <w:rsid w:val="00205086"/>
    <w:rsid w:val="00205D14"/>
    <w:rsid w:val="00207FA8"/>
    <w:rsid w:val="00210106"/>
    <w:rsid w:val="00210970"/>
    <w:rsid w:val="00212127"/>
    <w:rsid w:val="002127C0"/>
    <w:rsid w:val="00223183"/>
    <w:rsid w:val="0022514F"/>
    <w:rsid w:val="00231050"/>
    <w:rsid w:val="00237BFC"/>
    <w:rsid w:val="00242165"/>
    <w:rsid w:val="00244AA7"/>
    <w:rsid w:val="00244D4D"/>
    <w:rsid w:val="00244EDC"/>
    <w:rsid w:val="002452FD"/>
    <w:rsid w:val="00246B82"/>
    <w:rsid w:val="00250E0A"/>
    <w:rsid w:val="002518C5"/>
    <w:rsid w:val="00253429"/>
    <w:rsid w:val="00253DCF"/>
    <w:rsid w:val="00254A3D"/>
    <w:rsid w:val="00256824"/>
    <w:rsid w:val="00257E12"/>
    <w:rsid w:val="00266115"/>
    <w:rsid w:val="00266D3A"/>
    <w:rsid w:val="00274C82"/>
    <w:rsid w:val="00282628"/>
    <w:rsid w:val="00283738"/>
    <w:rsid w:val="002879FC"/>
    <w:rsid w:val="00287C75"/>
    <w:rsid w:val="00294D01"/>
    <w:rsid w:val="00297CFF"/>
    <w:rsid w:val="002A088B"/>
    <w:rsid w:val="002A5ADB"/>
    <w:rsid w:val="002A6E9E"/>
    <w:rsid w:val="002B0D3B"/>
    <w:rsid w:val="002B1343"/>
    <w:rsid w:val="002B1A4A"/>
    <w:rsid w:val="002B346E"/>
    <w:rsid w:val="002B6BF0"/>
    <w:rsid w:val="002C217F"/>
    <w:rsid w:val="002C4FBE"/>
    <w:rsid w:val="002C5640"/>
    <w:rsid w:val="002D037B"/>
    <w:rsid w:val="002D43E6"/>
    <w:rsid w:val="002D5101"/>
    <w:rsid w:val="002D550E"/>
    <w:rsid w:val="002E7BFE"/>
    <w:rsid w:val="002F41BA"/>
    <w:rsid w:val="002F6A03"/>
    <w:rsid w:val="003002B0"/>
    <w:rsid w:val="00301FD1"/>
    <w:rsid w:val="0030472F"/>
    <w:rsid w:val="00306346"/>
    <w:rsid w:val="00312EF2"/>
    <w:rsid w:val="00314088"/>
    <w:rsid w:val="00314F59"/>
    <w:rsid w:val="00316957"/>
    <w:rsid w:val="00320D54"/>
    <w:rsid w:val="00335A27"/>
    <w:rsid w:val="00335FE4"/>
    <w:rsid w:val="003431C1"/>
    <w:rsid w:val="00344D0A"/>
    <w:rsid w:val="00345D2B"/>
    <w:rsid w:val="00351D0D"/>
    <w:rsid w:val="00356347"/>
    <w:rsid w:val="00357384"/>
    <w:rsid w:val="003621A8"/>
    <w:rsid w:val="00363612"/>
    <w:rsid w:val="00367094"/>
    <w:rsid w:val="0036767F"/>
    <w:rsid w:val="00372E9C"/>
    <w:rsid w:val="003812B3"/>
    <w:rsid w:val="00381F7B"/>
    <w:rsid w:val="00391274"/>
    <w:rsid w:val="0039341B"/>
    <w:rsid w:val="003934F1"/>
    <w:rsid w:val="00394516"/>
    <w:rsid w:val="00394CFD"/>
    <w:rsid w:val="003951BB"/>
    <w:rsid w:val="003977D6"/>
    <w:rsid w:val="003A0BCB"/>
    <w:rsid w:val="003A2967"/>
    <w:rsid w:val="003A4600"/>
    <w:rsid w:val="003A4C2D"/>
    <w:rsid w:val="003B0525"/>
    <w:rsid w:val="003B1D1F"/>
    <w:rsid w:val="003B1D6D"/>
    <w:rsid w:val="003B5BD0"/>
    <w:rsid w:val="003B6DD9"/>
    <w:rsid w:val="003C7DA7"/>
    <w:rsid w:val="003D0BB2"/>
    <w:rsid w:val="003D6EDD"/>
    <w:rsid w:val="003E0C72"/>
    <w:rsid w:val="003E430E"/>
    <w:rsid w:val="003E57E0"/>
    <w:rsid w:val="003E6B85"/>
    <w:rsid w:val="003E7D71"/>
    <w:rsid w:val="003F0A72"/>
    <w:rsid w:val="003F1AA1"/>
    <w:rsid w:val="003F619A"/>
    <w:rsid w:val="003F7BC1"/>
    <w:rsid w:val="00414CE7"/>
    <w:rsid w:val="00417B30"/>
    <w:rsid w:val="00421FD0"/>
    <w:rsid w:val="004222EF"/>
    <w:rsid w:val="004233D1"/>
    <w:rsid w:val="00423AD1"/>
    <w:rsid w:val="00427771"/>
    <w:rsid w:val="004302E8"/>
    <w:rsid w:val="00430793"/>
    <w:rsid w:val="00432037"/>
    <w:rsid w:val="00435792"/>
    <w:rsid w:val="00435F97"/>
    <w:rsid w:val="004415A4"/>
    <w:rsid w:val="00452EB4"/>
    <w:rsid w:val="00453BC1"/>
    <w:rsid w:val="00456451"/>
    <w:rsid w:val="004612BE"/>
    <w:rsid w:val="00462D81"/>
    <w:rsid w:val="0047406E"/>
    <w:rsid w:val="004762A8"/>
    <w:rsid w:val="00483BE2"/>
    <w:rsid w:val="00487CA3"/>
    <w:rsid w:val="004912F5"/>
    <w:rsid w:val="00492C94"/>
    <w:rsid w:val="004B01FA"/>
    <w:rsid w:val="004B02D5"/>
    <w:rsid w:val="004B1154"/>
    <w:rsid w:val="004B6B24"/>
    <w:rsid w:val="004C1360"/>
    <w:rsid w:val="004D0082"/>
    <w:rsid w:val="004D17EE"/>
    <w:rsid w:val="004D26FA"/>
    <w:rsid w:val="004E2EE0"/>
    <w:rsid w:val="004E3815"/>
    <w:rsid w:val="004E4F48"/>
    <w:rsid w:val="004E7C89"/>
    <w:rsid w:val="00505343"/>
    <w:rsid w:val="005054DE"/>
    <w:rsid w:val="005067B4"/>
    <w:rsid w:val="00506942"/>
    <w:rsid w:val="00510137"/>
    <w:rsid w:val="005108EB"/>
    <w:rsid w:val="0051585D"/>
    <w:rsid w:val="005165B2"/>
    <w:rsid w:val="00517F21"/>
    <w:rsid w:val="00520B56"/>
    <w:rsid w:val="00520E3B"/>
    <w:rsid w:val="00523D72"/>
    <w:rsid w:val="00526899"/>
    <w:rsid w:val="00530658"/>
    <w:rsid w:val="005309EC"/>
    <w:rsid w:val="005340A3"/>
    <w:rsid w:val="00534990"/>
    <w:rsid w:val="00536DA2"/>
    <w:rsid w:val="00537899"/>
    <w:rsid w:val="005400B7"/>
    <w:rsid w:val="0054219C"/>
    <w:rsid w:val="005427D8"/>
    <w:rsid w:val="00542B5C"/>
    <w:rsid w:val="00543855"/>
    <w:rsid w:val="005441A5"/>
    <w:rsid w:val="00545345"/>
    <w:rsid w:val="00546540"/>
    <w:rsid w:val="00547F17"/>
    <w:rsid w:val="00550E41"/>
    <w:rsid w:val="0055171D"/>
    <w:rsid w:val="00554A6F"/>
    <w:rsid w:val="0055584C"/>
    <w:rsid w:val="0056606A"/>
    <w:rsid w:val="005676EC"/>
    <w:rsid w:val="00570663"/>
    <w:rsid w:val="005734E7"/>
    <w:rsid w:val="005752AE"/>
    <w:rsid w:val="005773AF"/>
    <w:rsid w:val="00582408"/>
    <w:rsid w:val="00583B35"/>
    <w:rsid w:val="00585645"/>
    <w:rsid w:val="0058718B"/>
    <w:rsid w:val="005878A8"/>
    <w:rsid w:val="00587C73"/>
    <w:rsid w:val="005916BE"/>
    <w:rsid w:val="005923EE"/>
    <w:rsid w:val="00593B06"/>
    <w:rsid w:val="005954D4"/>
    <w:rsid w:val="005A042C"/>
    <w:rsid w:val="005B0465"/>
    <w:rsid w:val="005B1335"/>
    <w:rsid w:val="005B181B"/>
    <w:rsid w:val="005B2AC5"/>
    <w:rsid w:val="005B4B49"/>
    <w:rsid w:val="005C2A37"/>
    <w:rsid w:val="005C63CA"/>
    <w:rsid w:val="005C6E6A"/>
    <w:rsid w:val="005D2F00"/>
    <w:rsid w:val="005D43C0"/>
    <w:rsid w:val="005D652C"/>
    <w:rsid w:val="005D73E6"/>
    <w:rsid w:val="005E13B8"/>
    <w:rsid w:val="005E3F6F"/>
    <w:rsid w:val="005E589E"/>
    <w:rsid w:val="005F091A"/>
    <w:rsid w:val="005F70D4"/>
    <w:rsid w:val="005F7764"/>
    <w:rsid w:val="0060573D"/>
    <w:rsid w:val="00611C43"/>
    <w:rsid w:val="00615451"/>
    <w:rsid w:val="00624B55"/>
    <w:rsid w:val="00625303"/>
    <w:rsid w:val="00625C8A"/>
    <w:rsid w:val="00632F78"/>
    <w:rsid w:val="006335D8"/>
    <w:rsid w:val="006422D0"/>
    <w:rsid w:val="006440EA"/>
    <w:rsid w:val="006457F9"/>
    <w:rsid w:val="00650365"/>
    <w:rsid w:val="00655F55"/>
    <w:rsid w:val="006638B1"/>
    <w:rsid w:val="00665775"/>
    <w:rsid w:val="00670AC7"/>
    <w:rsid w:val="0067322C"/>
    <w:rsid w:val="00673DF0"/>
    <w:rsid w:val="00674EA2"/>
    <w:rsid w:val="0067591A"/>
    <w:rsid w:val="00675ACE"/>
    <w:rsid w:val="00676966"/>
    <w:rsid w:val="0068086D"/>
    <w:rsid w:val="00680DFA"/>
    <w:rsid w:val="00681F4E"/>
    <w:rsid w:val="0068353C"/>
    <w:rsid w:val="0068507E"/>
    <w:rsid w:val="00686109"/>
    <w:rsid w:val="00690FD5"/>
    <w:rsid w:val="00692226"/>
    <w:rsid w:val="006924C4"/>
    <w:rsid w:val="00696892"/>
    <w:rsid w:val="006A19B6"/>
    <w:rsid w:val="006A256B"/>
    <w:rsid w:val="006A34F3"/>
    <w:rsid w:val="006A4571"/>
    <w:rsid w:val="006A4C38"/>
    <w:rsid w:val="006A6086"/>
    <w:rsid w:val="006B25E8"/>
    <w:rsid w:val="006B3E4C"/>
    <w:rsid w:val="006C7378"/>
    <w:rsid w:val="006D1658"/>
    <w:rsid w:val="006D16E1"/>
    <w:rsid w:val="006D17D3"/>
    <w:rsid w:val="006D1B8D"/>
    <w:rsid w:val="006D23E9"/>
    <w:rsid w:val="006E393A"/>
    <w:rsid w:val="006F04D3"/>
    <w:rsid w:val="006F1E7D"/>
    <w:rsid w:val="006F349D"/>
    <w:rsid w:val="007033C6"/>
    <w:rsid w:val="007056A0"/>
    <w:rsid w:val="00705C69"/>
    <w:rsid w:val="00711842"/>
    <w:rsid w:val="00712A4A"/>
    <w:rsid w:val="00713EAC"/>
    <w:rsid w:val="00717FCB"/>
    <w:rsid w:val="00727A38"/>
    <w:rsid w:val="007305C0"/>
    <w:rsid w:val="007315EC"/>
    <w:rsid w:val="00736647"/>
    <w:rsid w:val="007371FB"/>
    <w:rsid w:val="00737432"/>
    <w:rsid w:val="00737C8E"/>
    <w:rsid w:val="00740592"/>
    <w:rsid w:val="007463B1"/>
    <w:rsid w:val="00746967"/>
    <w:rsid w:val="00751BC3"/>
    <w:rsid w:val="00757E7D"/>
    <w:rsid w:val="0076227C"/>
    <w:rsid w:val="0076321C"/>
    <w:rsid w:val="00763856"/>
    <w:rsid w:val="007651D1"/>
    <w:rsid w:val="007667FB"/>
    <w:rsid w:val="00772C1F"/>
    <w:rsid w:val="00776187"/>
    <w:rsid w:val="00780532"/>
    <w:rsid w:val="00781A2A"/>
    <w:rsid w:val="00784D48"/>
    <w:rsid w:val="00785577"/>
    <w:rsid w:val="00794418"/>
    <w:rsid w:val="00794443"/>
    <w:rsid w:val="00795EA5"/>
    <w:rsid w:val="007A2B15"/>
    <w:rsid w:val="007A3A36"/>
    <w:rsid w:val="007A5DE7"/>
    <w:rsid w:val="007A7319"/>
    <w:rsid w:val="007B1AF3"/>
    <w:rsid w:val="007B3163"/>
    <w:rsid w:val="007B4B0D"/>
    <w:rsid w:val="007B6A6C"/>
    <w:rsid w:val="007C57AB"/>
    <w:rsid w:val="007C5EEE"/>
    <w:rsid w:val="007C5F99"/>
    <w:rsid w:val="007D04F3"/>
    <w:rsid w:val="007D0FB8"/>
    <w:rsid w:val="007D16E5"/>
    <w:rsid w:val="007D203E"/>
    <w:rsid w:val="007D3E3C"/>
    <w:rsid w:val="007D5FD3"/>
    <w:rsid w:val="007D6DF5"/>
    <w:rsid w:val="007D6FB8"/>
    <w:rsid w:val="007D795A"/>
    <w:rsid w:val="007E29F0"/>
    <w:rsid w:val="007E3551"/>
    <w:rsid w:val="007E62E1"/>
    <w:rsid w:val="007F209E"/>
    <w:rsid w:val="007F379C"/>
    <w:rsid w:val="007F4110"/>
    <w:rsid w:val="00801111"/>
    <w:rsid w:val="008016F1"/>
    <w:rsid w:val="00801CAB"/>
    <w:rsid w:val="00802271"/>
    <w:rsid w:val="00804438"/>
    <w:rsid w:val="008062EC"/>
    <w:rsid w:val="0081113D"/>
    <w:rsid w:val="00812076"/>
    <w:rsid w:val="00812189"/>
    <w:rsid w:val="00812E87"/>
    <w:rsid w:val="00816A22"/>
    <w:rsid w:val="00817991"/>
    <w:rsid w:val="0082087F"/>
    <w:rsid w:val="00836310"/>
    <w:rsid w:val="008365CC"/>
    <w:rsid w:val="0084372F"/>
    <w:rsid w:val="00846FF9"/>
    <w:rsid w:val="008649D5"/>
    <w:rsid w:val="00864F31"/>
    <w:rsid w:val="00866F9C"/>
    <w:rsid w:val="0086718E"/>
    <w:rsid w:val="00870D56"/>
    <w:rsid w:val="00871DCE"/>
    <w:rsid w:val="008753B5"/>
    <w:rsid w:val="0088163E"/>
    <w:rsid w:val="00885BEE"/>
    <w:rsid w:val="00886810"/>
    <w:rsid w:val="008876D8"/>
    <w:rsid w:val="008951A9"/>
    <w:rsid w:val="00895F6D"/>
    <w:rsid w:val="0089634C"/>
    <w:rsid w:val="00896ACE"/>
    <w:rsid w:val="008A2E27"/>
    <w:rsid w:val="008B3698"/>
    <w:rsid w:val="008B4968"/>
    <w:rsid w:val="008C14BA"/>
    <w:rsid w:val="008C2AA5"/>
    <w:rsid w:val="008C3EE6"/>
    <w:rsid w:val="008C53B5"/>
    <w:rsid w:val="008C69DE"/>
    <w:rsid w:val="008C72F9"/>
    <w:rsid w:val="008C7EED"/>
    <w:rsid w:val="008D1F53"/>
    <w:rsid w:val="008D43BC"/>
    <w:rsid w:val="008D781E"/>
    <w:rsid w:val="008E01DC"/>
    <w:rsid w:val="008E292E"/>
    <w:rsid w:val="008E6C73"/>
    <w:rsid w:val="008F7803"/>
    <w:rsid w:val="008F7A2F"/>
    <w:rsid w:val="0090781F"/>
    <w:rsid w:val="00910BB9"/>
    <w:rsid w:val="00911126"/>
    <w:rsid w:val="00913BD2"/>
    <w:rsid w:val="00913DB1"/>
    <w:rsid w:val="00914102"/>
    <w:rsid w:val="0091410A"/>
    <w:rsid w:val="0091468F"/>
    <w:rsid w:val="00914745"/>
    <w:rsid w:val="00914EB3"/>
    <w:rsid w:val="00915D86"/>
    <w:rsid w:val="00920987"/>
    <w:rsid w:val="0092385C"/>
    <w:rsid w:val="009259C1"/>
    <w:rsid w:val="009276B5"/>
    <w:rsid w:val="009276BF"/>
    <w:rsid w:val="00927AFE"/>
    <w:rsid w:val="00935F86"/>
    <w:rsid w:val="00936BE7"/>
    <w:rsid w:val="0094068F"/>
    <w:rsid w:val="00942B11"/>
    <w:rsid w:val="00955812"/>
    <w:rsid w:val="00956F24"/>
    <w:rsid w:val="0096090D"/>
    <w:rsid w:val="00960A01"/>
    <w:rsid w:val="009616DD"/>
    <w:rsid w:val="00961D72"/>
    <w:rsid w:val="00963084"/>
    <w:rsid w:val="00964606"/>
    <w:rsid w:val="00970CA2"/>
    <w:rsid w:val="00972AC1"/>
    <w:rsid w:val="009762DA"/>
    <w:rsid w:val="009779E9"/>
    <w:rsid w:val="00980910"/>
    <w:rsid w:val="009844EE"/>
    <w:rsid w:val="00986170"/>
    <w:rsid w:val="00987CB8"/>
    <w:rsid w:val="00987F0E"/>
    <w:rsid w:val="0099043F"/>
    <w:rsid w:val="00990E9C"/>
    <w:rsid w:val="009915A6"/>
    <w:rsid w:val="00996377"/>
    <w:rsid w:val="009A3ABD"/>
    <w:rsid w:val="009A4AD0"/>
    <w:rsid w:val="009A73C6"/>
    <w:rsid w:val="009B2EB7"/>
    <w:rsid w:val="009B3B95"/>
    <w:rsid w:val="009C12AE"/>
    <w:rsid w:val="009C3529"/>
    <w:rsid w:val="009C3620"/>
    <w:rsid w:val="009C62B5"/>
    <w:rsid w:val="009D2974"/>
    <w:rsid w:val="009E5540"/>
    <w:rsid w:val="009E62EE"/>
    <w:rsid w:val="009F1B0C"/>
    <w:rsid w:val="009F27AE"/>
    <w:rsid w:val="009F5ED3"/>
    <w:rsid w:val="00A01DB8"/>
    <w:rsid w:val="00A04FF7"/>
    <w:rsid w:val="00A135C3"/>
    <w:rsid w:val="00A15C54"/>
    <w:rsid w:val="00A16F9C"/>
    <w:rsid w:val="00A223D6"/>
    <w:rsid w:val="00A239E9"/>
    <w:rsid w:val="00A24190"/>
    <w:rsid w:val="00A253D2"/>
    <w:rsid w:val="00A262DA"/>
    <w:rsid w:val="00A3122E"/>
    <w:rsid w:val="00A37A5A"/>
    <w:rsid w:val="00A37F8C"/>
    <w:rsid w:val="00A41A04"/>
    <w:rsid w:val="00A423FA"/>
    <w:rsid w:val="00A43A1D"/>
    <w:rsid w:val="00A43F9B"/>
    <w:rsid w:val="00A46697"/>
    <w:rsid w:val="00A52BFA"/>
    <w:rsid w:val="00A53D3D"/>
    <w:rsid w:val="00A60DA8"/>
    <w:rsid w:val="00A610CB"/>
    <w:rsid w:val="00A631FE"/>
    <w:rsid w:val="00A650E7"/>
    <w:rsid w:val="00A65481"/>
    <w:rsid w:val="00A709BD"/>
    <w:rsid w:val="00A7589C"/>
    <w:rsid w:val="00A7755A"/>
    <w:rsid w:val="00A805E8"/>
    <w:rsid w:val="00A807D1"/>
    <w:rsid w:val="00A84907"/>
    <w:rsid w:val="00A84BD9"/>
    <w:rsid w:val="00A9071D"/>
    <w:rsid w:val="00A953BC"/>
    <w:rsid w:val="00A96B37"/>
    <w:rsid w:val="00A9727E"/>
    <w:rsid w:val="00AA1B2D"/>
    <w:rsid w:val="00AA1C28"/>
    <w:rsid w:val="00AA2FA9"/>
    <w:rsid w:val="00AA41E7"/>
    <w:rsid w:val="00AA5E6B"/>
    <w:rsid w:val="00AB387D"/>
    <w:rsid w:val="00AB5A11"/>
    <w:rsid w:val="00AC048F"/>
    <w:rsid w:val="00AC4952"/>
    <w:rsid w:val="00AC6A70"/>
    <w:rsid w:val="00AD17C8"/>
    <w:rsid w:val="00AD4009"/>
    <w:rsid w:val="00AD400B"/>
    <w:rsid w:val="00AD626F"/>
    <w:rsid w:val="00AE6A1A"/>
    <w:rsid w:val="00AF0AD0"/>
    <w:rsid w:val="00AF1D50"/>
    <w:rsid w:val="00AF4B8C"/>
    <w:rsid w:val="00AF6317"/>
    <w:rsid w:val="00B005E5"/>
    <w:rsid w:val="00B046E2"/>
    <w:rsid w:val="00B07279"/>
    <w:rsid w:val="00B1701D"/>
    <w:rsid w:val="00B21765"/>
    <w:rsid w:val="00B26632"/>
    <w:rsid w:val="00B300E9"/>
    <w:rsid w:val="00B31272"/>
    <w:rsid w:val="00B41145"/>
    <w:rsid w:val="00B43512"/>
    <w:rsid w:val="00B45158"/>
    <w:rsid w:val="00B45986"/>
    <w:rsid w:val="00B56952"/>
    <w:rsid w:val="00B56D58"/>
    <w:rsid w:val="00B60859"/>
    <w:rsid w:val="00B61085"/>
    <w:rsid w:val="00B63E73"/>
    <w:rsid w:val="00B6481A"/>
    <w:rsid w:val="00B66AE8"/>
    <w:rsid w:val="00B749DF"/>
    <w:rsid w:val="00B80ADA"/>
    <w:rsid w:val="00B8207F"/>
    <w:rsid w:val="00B825EA"/>
    <w:rsid w:val="00B8332F"/>
    <w:rsid w:val="00B87682"/>
    <w:rsid w:val="00B911B3"/>
    <w:rsid w:val="00B9248D"/>
    <w:rsid w:val="00B94F3D"/>
    <w:rsid w:val="00BA3199"/>
    <w:rsid w:val="00BA68FA"/>
    <w:rsid w:val="00BB1CEC"/>
    <w:rsid w:val="00BD19C7"/>
    <w:rsid w:val="00BD2B3D"/>
    <w:rsid w:val="00BD3725"/>
    <w:rsid w:val="00BD4271"/>
    <w:rsid w:val="00BE15BF"/>
    <w:rsid w:val="00BE21FB"/>
    <w:rsid w:val="00BE551D"/>
    <w:rsid w:val="00BE687F"/>
    <w:rsid w:val="00BF2E1F"/>
    <w:rsid w:val="00BF38A1"/>
    <w:rsid w:val="00BF5A7D"/>
    <w:rsid w:val="00C20A07"/>
    <w:rsid w:val="00C25C42"/>
    <w:rsid w:val="00C276F3"/>
    <w:rsid w:val="00C27A2C"/>
    <w:rsid w:val="00C341D9"/>
    <w:rsid w:val="00C35CB8"/>
    <w:rsid w:val="00C414F0"/>
    <w:rsid w:val="00C444DD"/>
    <w:rsid w:val="00C50964"/>
    <w:rsid w:val="00C50D98"/>
    <w:rsid w:val="00C54DC8"/>
    <w:rsid w:val="00C55898"/>
    <w:rsid w:val="00C57FD5"/>
    <w:rsid w:val="00C63FAC"/>
    <w:rsid w:val="00C65F49"/>
    <w:rsid w:val="00C667AC"/>
    <w:rsid w:val="00C72B00"/>
    <w:rsid w:val="00C732AC"/>
    <w:rsid w:val="00C82521"/>
    <w:rsid w:val="00C82E32"/>
    <w:rsid w:val="00C83572"/>
    <w:rsid w:val="00C83E6E"/>
    <w:rsid w:val="00C8473E"/>
    <w:rsid w:val="00C94D87"/>
    <w:rsid w:val="00CA0D8F"/>
    <w:rsid w:val="00CA581B"/>
    <w:rsid w:val="00CA5E94"/>
    <w:rsid w:val="00CA6288"/>
    <w:rsid w:val="00CB0480"/>
    <w:rsid w:val="00CB2877"/>
    <w:rsid w:val="00CB4A8B"/>
    <w:rsid w:val="00CB5C1D"/>
    <w:rsid w:val="00CB73C7"/>
    <w:rsid w:val="00CC1002"/>
    <w:rsid w:val="00CC32FA"/>
    <w:rsid w:val="00CC47DD"/>
    <w:rsid w:val="00CC60C2"/>
    <w:rsid w:val="00CD2AB4"/>
    <w:rsid w:val="00CD5BF6"/>
    <w:rsid w:val="00CF1BDB"/>
    <w:rsid w:val="00CF2D8A"/>
    <w:rsid w:val="00CF363D"/>
    <w:rsid w:val="00CF5ECE"/>
    <w:rsid w:val="00CF7F18"/>
    <w:rsid w:val="00D012C3"/>
    <w:rsid w:val="00D01573"/>
    <w:rsid w:val="00D02778"/>
    <w:rsid w:val="00D027BA"/>
    <w:rsid w:val="00D03733"/>
    <w:rsid w:val="00D15641"/>
    <w:rsid w:val="00D212D7"/>
    <w:rsid w:val="00D257CC"/>
    <w:rsid w:val="00D278C4"/>
    <w:rsid w:val="00D315A0"/>
    <w:rsid w:val="00D3416D"/>
    <w:rsid w:val="00D41A15"/>
    <w:rsid w:val="00D42008"/>
    <w:rsid w:val="00D4618D"/>
    <w:rsid w:val="00D528E5"/>
    <w:rsid w:val="00D534A8"/>
    <w:rsid w:val="00D554B4"/>
    <w:rsid w:val="00D62E40"/>
    <w:rsid w:val="00D63D27"/>
    <w:rsid w:val="00D660B9"/>
    <w:rsid w:val="00D67742"/>
    <w:rsid w:val="00D74306"/>
    <w:rsid w:val="00D80976"/>
    <w:rsid w:val="00D80EA7"/>
    <w:rsid w:val="00DA3D55"/>
    <w:rsid w:val="00DA5366"/>
    <w:rsid w:val="00DB0AA0"/>
    <w:rsid w:val="00DB5274"/>
    <w:rsid w:val="00DB7667"/>
    <w:rsid w:val="00DD0A7B"/>
    <w:rsid w:val="00DD16B2"/>
    <w:rsid w:val="00DD2FD8"/>
    <w:rsid w:val="00DD68F4"/>
    <w:rsid w:val="00DD6963"/>
    <w:rsid w:val="00DE2410"/>
    <w:rsid w:val="00DF1461"/>
    <w:rsid w:val="00DF1584"/>
    <w:rsid w:val="00DF3629"/>
    <w:rsid w:val="00DF7C2E"/>
    <w:rsid w:val="00E001D5"/>
    <w:rsid w:val="00E01709"/>
    <w:rsid w:val="00E050F7"/>
    <w:rsid w:val="00E10E38"/>
    <w:rsid w:val="00E119BA"/>
    <w:rsid w:val="00E13A67"/>
    <w:rsid w:val="00E24265"/>
    <w:rsid w:val="00E24AE6"/>
    <w:rsid w:val="00E34C9F"/>
    <w:rsid w:val="00E40F21"/>
    <w:rsid w:val="00E4474A"/>
    <w:rsid w:val="00E46D53"/>
    <w:rsid w:val="00E55D33"/>
    <w:rsid w:val="00E6233F"/>
    <w:rsid w:val="00E62F96"/>
    <w:rsid w:val="00E640B1"/>
    <w:rsid w:val="00E64987"/>
    <w:rsid w:val="00E661BB"/>
    <w:rsid w:val="00E6796D"/>
    <w:rsid w:val="00E71233"/>
    <w:rsid w:val="00E72729"/>
    <w:rsid w:val="00E74A59"/>
    <w:rsid w:val="00E75174"/>
    <w:rsid w:val="00E76AE3"/>
    <w:rsid w:val="00E8131F"/>
    <w:rsid w:val="00E82A98"/>
    <w:rsid w:val="00E8437A"/>
    <w:rsid w:val="00E84AEF"/>
    <w:rsid w:val="00E85037"/>
    <w:rsid w:val="00E91438"/>
    <w:rsid w:val="00EA0527"/>
    <w:rsid w:val="00EA2A4D"/>
    <w:rsid w:val="00EB10F8"/>
    <w:rsid w:val="00EB6FA9"/>
    <w:rsid w:val="00EC21A6"/>
    <w:rsid w:val="00EC45FE"/>
    <w:rsid w:val="00EC4DAF"/>
    <w:rsid w:val="00EC7E92"/>
    <w:rsid w:val="00ED0BE5"/>
    <w:rsid w:val="00ED131B"/>
    <w:rsid w:val="00ED3A40"/>
    <w:rsid w:val="00ED3DD4"/>
    <w:rsid w:val="00ED5140"/>
    <w:rsid w:val="00ED6F56"/>
    <w:rsid w:val="00EE2079"/>
    <w:rsid w:val="00EE2DEA"/>
    <w:rsid w:val="00EE371A"/>
    <w:rsid w:val="00EE7276"/>
    <w:rsid w:val="00EF19CA"/>
    <w:rsid w:val="00EF2628"/>
    <w:rsid w:val="00EF4964"/>
    <w:rsid w:val="00F03354"/>
    <w:rsid w:val="00F071E6"/>
    <w:rsid w:val="00F122E1"/>
    <w:rsid w:val="00F1297A"/>
    <w:rsid w:val="00F26239"/>
    <w:rsid w:val="00F31FA0"/>
    <w:rsid w:val="00F32972"/>
    <w:rsid w:val="00F3641C"/>
    <w:rsid w:val="00F406EA"/>
    <w:rsid w:val="00F41285"/>
    <w:rsid w:val="00F43758"/>
    <w:rsid w:val="00F4423B"/>
    <w:rsid w:val="00F44B0F"/>
    <w:rsid w:val="00F50A65"/>
    <w:rsid w:val="00F5572D"/>
    <w:rsid w:val="00F56C08"/>
    <w:rsid w:val="00F57379"/>
    <w:rsid w:val="00F63005"/>
    <w:rsid w:val="00F73A71"/>
    <w:rsid w:val="00F769BB"/>
    <w:rsid w:val="00F76ECB"/>
    <w:rsid w:val="00F82C10"/>
    <w:rsid w:val="00F83354"/>
    <w:rsid w:val="00F858DD"/>
    <w:rsid w:val="00F8687D"/>
    <w:rsid w:val="00F9682D"/>
    <w:rsid w:val="00F96C74"/>
    <w:rsid w:val="00FA0E0D"/>
    <w:rsid w:val="00FA3165"/>
    <w:rsid w:val="00FA6C99"/>
    <w:rsid w:val="00FA77BE"/>
    <w:rsid w:val="00FA7EEF"/>
    <w:rsid w:val="00FB1A9F"/>
    <w:rsid w:val="00FC4C76"/>
    <w:rsid w:val="00FC7068"/>
    <w:rsid w:val="00FC70AD"/>
    <w:rsid w:val="00FD10FC"/>
    <w:rsid w:val="00FD18DB"/>
    <w:rsid w:val="00FD3619"/>
    <w:rsid w:val="00FE0C60"/>
    <w:rsid w:val="00FE14E2"/>
    <w:rsid w:val="00FE26D0"/>
    <w:rsid w:val="00FE5DB0"/>
    <w:rsid w:val="00FE68B3"/>
    <w:rsid w:val="00FE7DF0"/>
    <w:rsid w:val="00FF061D"/>
    <w:rsid w:val="00FF3B75"/>
    <w:rsid w:val="00FF45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77A44"/>
  <w15:chartTrackingRefBased/>
  <w15:docId w15:val="{D38B9A90-660F-47B8-ABBC-1498C92C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3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B13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1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154"/>
  </w:style>
  <w:style w:type="paragraph" w:styleId="Voettekst">
    <w:name w:val="footer"/>
    <w:basedOn w:val="Standaard"/>
    <w:link w:val="VoettekstChar"/>
    <w:uiPriority w:val="99"/>
    <w:unhideWhenUsed/>
    <w:rsid w:val="004B11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154"/>
  </w:style>
  <w:style w:type="paragraph" w:styleId="Lijstalinea">
    <w:name w:val="List Paragraph"/>
    <w:aliases w:val="Bulleted Lijst,4. Lists,Bullet List,FooterText,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19594E"/>
    <w:pPr>
      <w:ind w:left="720"/>
      <w:contextualSpacing/>
    </w:pPr>
  </w:style>
  <w:style w:type="character" w:styleId="Zwaar">
    <w:name w:val="Strong"/>
    <w:basedOn w:val="Standaardalinea-lettertype"/>
    <w:uiPriority w:val="22"/>
    <w:qFormat/>
    <w:rsid w:val="00112A3D"/>
    <w:rPr>
      <w:b/>
      <w:bCs/>
    </w:rPr>
  </w:style>
  <w:style w:type="table" w:styleId="Tabelraster">
    <w:name w:val="Table Grid"/>
    <w:basedOn w:val="Standaardtabel"/>
    <w:uiPriority w:val="39"/>
    <w:rsid w:val="004B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01FD1"/>
    <w:pPr>
      <w:spacing w:after="0" w:line="240" w:lineRule="auto"/>
    </w:pPr>
  </w:style>
  <w:style w:type="character" w:customStyle="1" w:styleId="Kop2Char">
    <w:name w:val="Kop 2 Char"/>
    <w:basedOn w:val="Standaardalinea-lettertype"/>
    <w:link w:val="Kop2"/>
    <w:uiPriority w:val="9"/>
    <w:rsid w:val="005B1335"/>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5B1335"/>
    <w:rPr>
      <w:rFonts w:asciiTheme="majorHAnsi" w:eastAsiaTheme="majorEastAsia" w:hAnsiTheme="majorHAnsi" w:cstheme="majorBidi"/>
      <w:color w:val="2E74B5" w:themeColor="accent1" w:themeShade="BF"/>
      <w:sz w:val="32"/>
      <w:szCs w:val="32"/>
    </w:rPr>
  </w:style>
  <w:style w:type="paragraph" w:styleId="Voetnoottekst">
    <w:name w:val="footnote text"/>
    <w:aliases w:val="Schriftart: 9 pt,Schriftart: 10 pt,Schriftart: 8 pt,fn,Fußnote,Fotnotstext1,Footnote text,Footnote Text Char2,Footnote Text Char1 Char,Footnote Text Char Char Char,Footnote Text Char Char1,Footnote Text Char1 Char1,Footnote Text Char Char"/>
    <w:basedOn w:val="Standaard"/>
    <w:link w:val="VoetnoottekstChar"/>
    <w:uiPriority w:val="99"/>
    <w:unhideWhenUsed/>
    <w:qFormat/>
    <w:rsid w:val="006F1E7D"/>
    <w:pPr>
      <w:spacing w:after="0" w:line="240" w:lineRule="auto"/>
    </w:pPr>
    <w:rPr>
      <w:sz w:val="20"/>
      <w:szCs w:val="20"/>
    </w:rPr>
  </w:style>
  <w:style w:type="character" w:customStyle="1" w:styleId="VoetnoottekstChar">
    <w:name w:val="Voetnoottekst Char"/>
    <w:aliases w:val="Schriftart: 9 pt Char,Schriftart: 10 pt Char,Schriftart: 8 pt Char,fn Char,Fußnote Char,Fotnotstext1 Char,Footnote text Char,Footnote Text Char2 Char,Footnote Text Char1 Char Char,Footnote Text Char Char Char Char"/>
    <w:basedOn w:val="Standaardalinea-lettertype"/>
    <w:link w:val="Voetnoottekst"/>
    <w:uiPriority w:val="99"/>
    <w:qFormat/>
    <w:rsid w:val="006F1E7D"/>
    <w:rPr>
      <w:sz w:val="20"/>
      <w:szCs w:val="20"/>
    </w:rPr>
  </w:style>
  <w:style w:type="character" w:styleId="Voetnootmarkering">
    <w:name w:val="footnote reference"/>
    <w:aliases w:val="Footnote symbol,IT Fußnotenzeichen,Footnote symboFußnotenzeichen,Footnote sign,-E Fußnotenzeichen,ESPON Footnote No,Footnote call,Footnote Reference Superscript,Footnote reference number,Times 10 Point,Exposant 3 Point,Ref,SUPERS,Cha"/>
    <w:basedOn w:val="Standaardalinea-lettertype"/>
    <w:link w:val="Char2"/>
    <w:uiPriority w:val="99"/>
    <w:unhideWhenUsed/>
    <w:qFormat/>
    <w:rsid w:val="006F1E7D"/>
    <w:rPr>
      <w:vertAlign w:val="superscript"/>
    </w:rPr>
  </w:style>
  <w:style w:type="paragraph" w:styleId="Ballontekst">
    <w:name w:val="Balloon Text"/>
    <w:basedOn w:val="Standaard"/>
    <w:link w:val="BallontekstChar"/>
    <w:uiPriority w:val="99"/>
    <w:semiHidden/>
    <w:unhideWhenUsed/>
    <w:rsid w:val="00935F8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5F86"/>
    <w:rPr>
      <w:rFonts w:ascii="Segoe UI" w:hAnsi="Segoe UI" w:cs="Segoe UI"/>
      <w:sz w:val="18"/>
      <w:szCs w:val="18"/>
    </w:rPr>
  </w:style>
  <w:style w:type="paragraph" w:customStyle="1" w:styleId="Default">
    <w:name w:val="Default"/>
    <w:rsid w:val="001A52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iPriority w:val="99"/>
    <w:unhideWhenUsed/>
    <w:rsid w:val="00B94F3D"/>
    <w:rPr>
      <w:color w:val="0000FF"/>
      <w:u w:val="single"/>
    </w:rPr>
  </w:style>
  <w:style w:type="paragraph" w:styleId="Normaalweb">
    <w:name w:val="Normal (Web)"/>
    <w:basedOn w:val="Standaard"/>
    <w:uiPriority w:val="99"/>
    <w:semiHidden/>
    <w:unhideWhenUsed/>
    <w:rsid w:val="00B94F3D"/>
    <w:pPr>
      <w:spacing w:before="100" w:beforeAutospacing="1" w:after="100" w:afterAutospacing="1" w:line="330" w:lineRule="atLeast"/>
    </w:pPr>
    <w:rPr>
      <w:rFonts w:ascii="Times New Roman" w:eastAsia="Times New Roman" w:hAnsi="Times New Roman" w:cs="Times New Roman"/>
      <w:color w:val="555454"/>
      <w:sz w:val="23"/>
      <w:szCs w:val="23"/>
      <w:lang w:eastAsia="nl-BE"/>
    </w:rPr>
  </w:style>
  <w:style w:type="character" w:customStyle="1" w:styleId="fontstyle0">
    <w:name w:val="fontstyle0"/>
    <w:basedOn w:val="Standaardalinea-lettertype"/>
    <w:rsid w:val="00B94F3D"/>
  </w:style>
  <w:style w:type="paragraph" w:styleId="Tekstzonderopmaak">
    <w:name w:val="Plain Text"/>
    <w:basedOn w:val="Standaard"/>
    <w:link w:val="TekstzonderopmaakChar"/>
    <w:uiPriority w:val="99"/>
    <w:unhideWhenUsed/>
    <w:rsid w:val="002127C0"/>
    <w:pPr>
      <w:spacing w:after="0" w:line="240" w:lineRule="auto"/>
    </w:pPr>
    <w:rPr>
      <w:rFonts w:ascii="Calibri" w:hAnsi="Calibri" w:cs="Consolas"/>
      <w:szCs w:val="21"/>
    </w:rPr>
  </w:style>
  <w:style w:type="character" w:customStyle="1" w:styleId="TekstzonderopmaakChar">
    <w:name w:val="Tekst zonder opmaak Char"/>
    <w:basedOn w:val="Standaardalinea-lettertype"/>
    <w:link w:val="Tekstzonderopmaak"/>
    <w:uiPriority w:val="99"/>
    <w:rsid w:val="002127C0"/>
    <w:rPr>
      <w:rFonts w:ascii="Calibri" w:hAnsi="Calibri" w:cs="Consolas"/>
      <w:szCs w:val="21"/>
    </w:rPr>
  </w:style>
  <w:style w:type="character" w:styleId="Verwijzingopmerking">
    <w:name w:val="annotation reference"/>
    <w:basedOn w:val="Standaardalinea-lettertype"/>
    <w:uiPriority w:val="99"/>
    <w:semiHidden/>
    <w:unhideWhenUsed/>
    <w:rsid w:val="00A15C54"/>
    <w:rPr>
      <w:sz w:val="16"/>
      <w:szCs w:val="16"/>
    </w:rPr>
  </w:style>
  <w:style w:type="paragraph" w:styleId="Tekstopmerking">
    <w:name w:val="annotation text"/>
    <w:basedOn w:val="Standaard"/>
    <w:link w:val="TekstopmerkingChar"/>
    <w:uiPriority w:val="99"/>
    <w:unhideWhenUsed/>
    <w:rsid w:val="00A15C54"/>
    <w:pPr>
      <w:spacing w:line="240" w:lineRule="auto"/>
    </w:pPr>
    <w:rPr>
      <w:sz w:val="20"/>
      <w:szCs w:val="20"/>
    </w:rPr>
  </w:style>
  <w:style w:type="character" w:customStyle="1" w:styleId="TekstopmerkingChar">
    <w:name w:val="Tekst opmerking Char"/>
    <w:basedOn w:val="Standaardalinea-lettertype"/>
    <w:link w:val="Tekstopmerking"/>
    <w:uiPriority w:val="99"/>
    <w:rsid w:val="00A15C54"/>
    <w:rPr>
      <w:sz w:val="20"/>
      <w:szCs w:val="20"/>
    </w:rPr>
  </w:style>
  <w:style w:type="paragraph" w:styleId="Onderwerpvanopmerking">
    <w:name w:val="annotation subject"/>
    <w:basedOn w:val="Tekstopmerking"/>
    <w:next w:val="Tekstopmerking"/>
    <w:link w:val="OnderwerpvanopmerkingChar"/>
    <w:uiPriority w:val="99"/>
    <w:semiHidden/>
    <w:unhideWhenUsed/>
    <w:rsid w:val="00A15C54"/>
    <w:rPr>
      <w:b/>
      <w:bCs/>
    </w:rPr>
  </w:style>
  <w:style w:type="character" w:customStyle="1" w:styleId="OnderwerpvanopmerkingChar">
    <w:name w:val="Onderwerp van opmerking Char"/>
    <w:basedOn w:val="TekstopmerkingChar"/>
    <w:link w:val="Onderwerpvanopmerking"/>
    <w:uiPriority w:val="99"/>
    <w:semiHidden/>
    <w:rsid w:val="00A15C54"/>
    <w:rPr>
      <w:b/>
      <w:bCs/>
      <w:sz w:val="20"/>
      <w:szCs w:val="20"/>
    </w:rPr>
  </w:style>
  <w:style w:type="character" w:styleId="Onopgelostemelding">
    <w:name w:val="Unresolved Mention"/>
    <w:basedOn w:val="Standaardalinea-lettertype"/>
    <w:uiPriority w:val="99"/>
    <w:semiHidden/>
    <w:unhideWhenUsed/>
    <w:rsid w:val="00DF7C2E"/>
    <w:rPr>
      <w:color w:val="605E5C"/>
      <w:shd w:val="clear" w:color="auto" w:fill="E1DFDD"/>
    </w:rPr>
  </w:style>
  <w:style w:type="character" w:customStyle="1" w:styleId="LijstalineaChar">
    <w:name w:val="Lijstalinea Char"/>
    <w:aliases w:val="Bulleted Lijst Char,4. Lists Char,Bullet List Char,FooterText Char,List Paragraph1 Char,Paragraphe de liste1 Char,Bulletr List Paragraph Char,列出段落 Char,列出段落1 Char,List Paragraph2 Char,List Paragraph21 Char,Listeafsnit1 Char,リスト段落1 Char"/>
    <w:basedOn w:val="Standaardalinea-lettertype"/>
    <w:link w:val="Lijstalinea"/>
    <w:uiPriority w:val="34"/>
    <w:qFormat/>
    <w:locked/>
    <w:rsid w:val="0005099D"/>
  </w:style>
  <w:style w:type="table" w:styleId="Rastertabel1licht-Accent5">
    <w:name w:val="Grid Table 1 Light Accent 5"/>
    <w:basedOn w:val="Standaardtabel"/>
    <w:uiPriority w:val="46"/>
    <w:rsid w:val="00F31FA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Char2">
    <w:name w:val="Char2"/>
    <w:basedOn w:val="Standaard"/>
    <w:link w:val="Voetnootmarkering"/>
    <w:uiPriority w:val="99"/>
    <w:rsid w:val="00BD2B3D"/>
    <w:pPr>
      <w:tabs>
        <w:tab w:val="left" w:pos="2256"/>
      </w:tabs>
      <w:spacing w:line="276" w:lineRule="auto"/>
      <w:ind w:firstLine="284"/>
    </w:pPr>
    <w:rPr>
      <w:vertAlign w:val="superscript"/>
    </w:rPr>
  </w:style>
  <w:style w:type="paragraph" w:customStyle="1" w:styleId="coverfiche">
    <w:name w:val="coverfiche"/>
    <w:basedOn w:val="Standaard"/>
    <w:link w:val="coverficheChar"/>
    <w:qFormat/>
    <w:rsid w:val="00FA3165"/>
    <w:pPr>
      <w:spacing w:after="0" w:line="240" w:lineRule="auto"/>
      <w:jc w:val="both"/>
    </w:pPr>
    <w:rPr>
      <w:rFonts w:eastAsia="Times New Roman" w:cstheme="minorHAnsi"/>
      <w:sz w:val="20"/>
      <w:szCs w:val="20"/>
    </w:rPr>
  </w:style>
  <w:style w:type="character" w:customStyle="1" w:styleId="coverficheChar">
    <w:name w:val="coverfiche Char"/>
    <w:basedOn w:val="Standaardalinea-lettertype"/>
    <w:link w:val="coverfiche"/>
    <w:rsid w:val="00FA3165"/>
    <w:rPr>
      <w:rFonts w:eastAsia="Times New Roman"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1221">
      <w:bodyDiv w:val="1"/>
      <w:marLeft w:val="0"/>
      <w:marRight w:val="0"/>
      <w:marTop w:val="0"/>
      <w:marBottom w:val="0"/>
      <w:divBdr>
        <w:top w:val="none" w:sz="0" w:space="0" w:color="auto"/>
        <w:left w:val="none" w:sz="0" w:space="0" w:color="auto"/>
        <w:bottom w:val="none" w:sz="0" w:space="0" w:color="auto"/>
        <w:right w:val="none" w:sz="0" w:space="0" w:color="auto"/>
      </w:divBdr>
    </w:div>
    <w:div w:id="270163230">
      <w:bodyDiv w:val="1"/>
      <w:marLeft w:val="0"/>
      <w:marRight w:val="0"/>
      <w:marTop w:val="0"/>
      <w:marBottom w:val="0"/>
      <w:divBdr>
        <w:top w:val="none" w:sz="0" w:space="0" w:color="auto"/>
        <w:left w:val="none" w:sz="0" w:space="0" w:color="auto"/>
        <w:bottom w:val="none" w:sz="0" w:space="0" w:color="auto"/>
        <w:right w:val="none" w:sz="0" w:space="0" w:color="auto"/>
      </w:divBdr>
    </w:div>
    <w:div w:id="665715769">
      <w:bodyDiv w:val="1"/>
      <w:marLeft w:val="0"/>
      <w:marRight w:val="0"/>
      <w:marTop w:val="0"/>
      <w:marBottom w:val="0"/>
      <w:divBdr>
        <w:top w:val="none" w:sz="0" w:space="0" w:color="auto"/>
        <w:left w:val="none" w:sz="0" w:space="0" w:color="auto"/>
        <w:bottom w:val="none" w:sz="0" w:space="0" w:color="auto"/>
        <w:right w:val="none" w:sz="0" w:space="0" w:color="auto"/>
      </w:divBdr>
    </w:div>
    <w:div w:id="978191739">
      <w:bodyDiv w:val="1"/>
      <w:marLeft w:val="0"/>
      <w:marRight w:val="0"/>
      <w:marTop w:val="0"/>
      <w:marBottom w:val="0"/>
      <w:divBdr>
        <w:top w:val="none" w:sz="0" w:space="0" w:color="auto"/>
        <w:left w:val="none" w:sz="0" w:space="0" w:color="auto"/>
        <w:bottom w:val="none" w:sz="0" w:space="0" w:color="auto"/>
        <w:right w:val="none" w:sz="0" w:space="0" w:color="auto"/>
      </w:divBdr>
      <w:divsChild>
        <w:div w:id="1925336017">
          <w:marLeft w:val="0"/>
          <w:marRight w:val="0"/>
          <w:marTop w:val="0"/>
          <w:marBottom w:val="0"/>
          <w:divBdr>
            <w:top w:val="none" w:sz="0" w:space="0" w:color="auto"/>
            <w:left w:val="none" w:sz="0" w:space="0" w:color="auto"/>
            <w:bottom w:val="none" w:sz="0" w:space="0" w:color="auto"/>
            <w:right w:val="none" w:sz="0" w:space="0" w:color="auto"/>
          </w:divBdr>
          <w:divsChild>
            <w:div w:id="775832413">
              <w:marLeft w:val="0"/>
              <w:marRight w:val="0"/>
              <w:marTop w:val="0"/>
              <w:marBottom w:val="0"/>
              <w:divBdr>
                <w:top w:val="none" w:sz="0" w:space="0" w:color="auto"/>
                <w:left w:val="none" w:sz="0" w:space="0" w:color="auto"/>
                <w:bottom w:val="none" w:sz="0" w:space="0" w:color="auto"/>
                <w:right w:val="none" w:sz="0" w:space="0" w:color="auto"/>
              </w:divBdr>
              <w:divsChild>
                <w:div w:id="188838708">
                  <w:marLeft w:val="0"/>
                  <w:marRight w:val="0"/>
                  <w:marTop w:val="0"/>
                  <w:marBottom w:val="0"/>
                  <w:divBdr>
                    <w:top w:val="none" w:sz="0" w:space="0" w:color="auto"/>
                    <w:left w:val="none" w:sz="0" w:space="0" w:color="auto"/>
                    <w:bottom w:val="none" w:sz="0" w:space="0" w:color="auto"/>
                    <w:right w:val="none" w:sz="0" w:space="0" w:color="auto"/>
                  </w:divBdr>
                  <w:divsChild>
                    <w:div w:id="1318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1210">
      <w:bodyDiv w:val="1"/>
      <w:marLeft w:val="0"/>
      <w:marRight w:val="0"/>
      <w:marTop w:val="0"/>
      <w:marBottom w:val="0"/>
      <w:divBdr>
        <w:top w:val="none" w:sz="0" w:space="0" w:color="auto"/>
        <w:left w:val="none" w:sz="0" w:space="0" w:color="auto"/>
        <w:bottom w:val="none" w:sz="0" w:space="0" w:color="auto"/>
        <w:right w:val="none" w:sz="0" w:space="0" w:color="auto"/>
      </w:divBdr>
    </w:div>
    <w:div w:id="1184055793">
      <w:bodyDiv w:val="1"/>
      <w:marLeft w:val="0"/>
      <w:marRight w:val="0"/>
      <w:marTop w:val="0"/>
      <w:marBottom w:val="0"/>
      <w:divBdr>
        <w:top w:val="none" w:sz="0" w:space="0" w:color="auto"/>
        <w:left w:val="none" w:sz="0" w:space="0" w:color="auto"/>
        <w:bottom w:val="none" w:sz="0" w:space="0" w:color="auto"/>
        <w:right w:val="none" w:sz="0" w:space="0" w:color="auto"/>
      </w:divBdr>
    </w:div>
    <w:div w:id="1257860776">
      <w:bodyDiv w:val="1"/>
      <w:marLeft w:val="0"/>
      <w:marRight w:val="0"/>
      <w:marTop w:val="0"/>
      <w:marBottom w:val="0"/>
      <w:divBdr>
        <w:top w:val="none" w:sz="0" w:space="0" w:color="auto"/>
        <w:left w:val="none" w:sz="0" w:space="0" w:color="auto"/>
        <w:bottom w:val="none" w:sz="0" w:space="0" w:color="auto"/>
        <w:right w:val="none" w:sz="0" w:space="0" w:color="auto"/>
      </w:divBdr>
    </w:div>
    <w:div w:id="1331177503">
      <w:bodyDiv w:val="1"/>
      <w:marLeft w:val="0"/>
      <w:marRight w:val="0"/>
      <w:marTop w:val="0"/>
      <w:marBottom w:val="0"/>
      <w:divBdr>
        <w:top w:val="none" w:sz="0" w:space="0" w:color="auto"/>
        <w:left w:val="none" w:sz="0" w:space="0" w:color="auto"/>
        <w:bottom w:val="none" w:sz="0" w:space="0" w:color="auto"/>
        <w:right w:val="none" w:sz="0" w:space="0" w:color="auto"/>
      </w:divBdr>
    </w:div>
    <w:div w:id="2022778035">
      <w:bodyDiv w:val="1"/>
      <w:marLeft w:val="0"/>
      <w:marRight w:val="0"/>
      <w:marTop w:val="0"/>
      <w:marBottom w:val="0"/>
      <w:divBdr>
        <w:top w:val="none" w:sz="0" w:space="0" w:color="auto"/>
        <w:left w:val="none" w:sz="0" w:space="0" w:color="auto"/>
        <w:bottom w:val="none" w:sz="0" w:space="0" w:color="auto"/>
        <w:right w:val="none" w:sz="0" w:space="0" w:color="auto"/>
      </w:divBdr>
    </w:div>
    <w:div w:id="204081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x.vlaanderen.be/Zoeken/Document.aspx?DID=1022583&amp;param=inhoud&amp;ref=search&amp;AVI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dex.vlaanderen.be/Zoeken/Document.aspx?DID=1022583&amp;param=inhoud&amp;ref=search&amp;AVID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D39D-3736-4035-9BA9-6E74A792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1302</Words>
  <Characters>7161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Sileghem Maarten VLAIO</dc:creator>
  <cp:keywords/>
  <dc:description/>
  <cp:lastModifiedBy>De Clercq Elsie</cp:lastModifiedBy>
  <cp:revision>2</cp:revision>
  <dcterms:created xsi:type="dcterms:W3CDTF">2022-08-24T14:18:00Z</dcterms:created>
  <dcterms:modified xsi:type="dcterms:W3CDTF">2022-08-24T14:18:00Z</dcterms:modified>
</cp:coreProperties>
</file>